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8602" w:type="dxa"/>
        <w:tblLook w:val="0000" w:firstRow="0" w:lastRow="0" w:firstColumn="0" w:lastColumn="0" w:noHBand="0" w:noVBand="0"/>
        <w:tblCaption w:val="Cabinet report summary details"/>
      </w:tblPr>
      <w:tblGrid>
        <w:gridCol w:w="3517"/>
        <w:gridCol w:w="5085"/>
      </w:tblGrid>
      <w:tr w:rsidR="00097E6B" w14:paraId="322EF0DF" w14:textId="77777777" w:rsidTr="00D862BD">
        <w:trPr>
          <w:trHeight w:val="747"/>
          <w:tblHeader/>
        </w:trPr>
        <w:tc>
          <w:tcPr>
            <w:tcW w:w="351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85"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097E6B" w14:paraId="67D60646" w14:textId="77777777" w:rsidTr="00D862BD">
        <w:trPr>
          <w:trHeight w:val="641"/>
        </w:trPr>
        <w:tc>
          <w:tcPr>
            <w:tcW w:w="3517"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85" w:type="dxa"/>
            <w:tcBorders>
              <w:top w:val="single" w:sz="18" w:space="0" w:color="auto"/>
            </w:tcBorders>
          </w:tcPr>
          <w:p w14:paraId="72FCD075" w14:textId="3FAFB5E1" w:rsidR="00333FAA" w:rsidRPr="005E3A10" w:rsidRDefault="00F76FC6" w:rsidP="00A53B04">
            <w:pPr>
              <w:rPr>
                <w:rFonts w:cs="Arial"/>
                <w:szCs w:val="24"/>
              </w:rPr>
            </w:pPr>
            <w:r>
              <w:rPr>
                <w:rFonts w:cs="Arial"/>
                <w:szCs w:val="24"/>
              </w:rPr>
              <w:t>18</w:t>
            </w:r>
            <w:r w:rsidRPr="00F76FC6">
              <w:rPr>
                <w:rFonts w:cs="Arial"/>
                <w:szCs w:val="24"/>
                <w:vertAlign w:val="superscript"/>
              </w:rPr>
              <w:t>th</w:t>
            </w:r>
            <w:r>
              <w:rPr>
                <w:rFonts w:cs="Arial"/>
                <w:szCs w:val="24"/>
              </w:rPr>
              <w:t xml:space="preserve"> November 2021</w:t>
            </w:r>
          </w:p>
        </w:tc>
      </w:tr>
      <w:tr w:rsidR="00097E6B" w14:paraId="3CC97725" w14:textId="77777777" w:rsidTr="00D862BD">
        <w:trPr>
          <w:trHeight w:val="829"/>
        </w:trPr>
        <w:tc>
          <w:tcPr>
            <w:tcW w:w="3517"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85" w:type="dxa"/>
          </w:tcPr>
          <w:p w14:paraId="3555C4EF" w14:textId="77777777" w:rsidR="00333FAA" w:rsidRDefault="00F76FC6" w:rsidP="00A53B04">
            <w:pPr>
              <w:rPr>
                <w:rFonts w:cs="Arial"/>
                <w:szCs w:val="24"/>
              </w:rPr>
            </w:pPr>
            <w:r>
              <w:rPr>
                <w:rFonts w:cs="Arial"/>
                <w:szCs w:val="24"/>
              </w:rPr>
              <w:t xml:space="preserve">Milton Road Development – </w:t>
            </w:r>
            <w:r w:rsidR="000171D7">
              <w:rPr>
                <w:rFonts w:cs="Arial"/>
                <w:szCs w:val="24"/>
              </w:rPr>
              <w:t>Commission</w:t>
            </w:r>
            <w:r>
              <w:rPr>
                <w:rFonts w:cs="Arial"/>
                <w:szCs w:val="24"/>
              </w:rPr>
              <w:t xml:space="preserve"> to Harrow Strategic Development Partnership</w:t>
            </w:r>
          </w:p>
          <w:p w14:paraId="6D8FB2C1" w14:textId="7BF65CDF" w:rsidR="00D862BD" w:rsidRPr="005E3A10" w:rsidRDefault="00D862BD" w:rsidP="00A53B04">
            <w:pPr>
              <w:rPr>
                <w:rFonts w:cs="Arial"/>
                <w:szCs w:val="24"/>
              </w:rPr>
            </w:pPr>
          </w:p>
        </w:tc>
      </w:tr>
      <w:tr w:rsidR="00097E6B" w14:paraId="32449166" w14:textId="77777777" w:rsidTr="00D862BD">
        <w:trPr>
          <w:trHeight w:val="880"/>
        </w:trPr>
        <w:tc>
          <w:tcPr>
            <w:tcW w:w="3517"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85" w:type="dxa"/>
          </w:tcPr>
          <w:p w14:paraId="308B78D7" w14:textId="3C43D9D6" w:rsidR="00464C72" w:rsidRPr="005E3A10" w:rsidRDefault="001C7E35" w:rsidP="001C7E35">
            <w:pPr>
              <w:pStyle w:val="Infotext"/>
              <w:rPr>
                <w:rFonts w:cs="Arial"/>
                <w:sz w:val="24"/>
                <w:szCs w:val="24"/>
              </w:rPr>
            </w:pPr>
            <w:r w:rsidRPr="005E3A10">
              <w:rPr>
                <w:rFonts w:cs="Arial"/>
                <w:sz w:val="24"/>
                <w:szCs w:val="24"/>
              </w:rPr>
              <w:t xml:space="preserve">Yes </w:t>
            </w:r>
            <w:r w:rsidR="00D862BD">
              <w:rPr>
                <w:rFonts w:cs="Arial"/>
                <w:sz w:val="24"/>
                <w:szCs w:val="24"/>
              </w:rPr>
              <w:t>- t</w:t>
            </w:r>
            <w:r w:rsidR="00464C72">
              <w:rPr>
                <w:rFonts w:cs="Arial"/>
                <w:sz w:val="24"/>
                <w:szCs w:val="24"/>
              </w:rPr>
              <w:t>he value of works to be carried out will exceed £1 million.</w:t>
            </w:r>
          </w:p>
          <w:p w14:paraId="3EADF2B3" w14:textId="77777777" w:rsidR="00333FAA" w:rsidRPr="005E3A10" w:rsidRDefault="00333FAA" w:rsidP="00464C72">
            <w:pPr>
              <w:pStyle w:val="Infotext"/>
              <w:rPr>
                <w:rFonts w:cs="Arial"/>
                <w:szCs w:val="24"/>
              </w:rPr>
            </w:pPr>
          </w:p>
        </w:tc>
      </w:tr>
      <w:tr w:rsidR="00097E6B" w14:paraId="79E96200" w14:textId="77777777" w:rsidTr="00D862BD">
        <w:trPr>
          <w:trHeight w:val="829"/>
        </w:trPr>
        <w:tc>
          <w:tcPr>
            <w:tcW w:w="3517"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85" w:type="dxa"/>
          </w:tcPr>
          <w:p w14:paraId="257294E8" w14:textId="034C1455" w:rsidR="00DE5DC7" w:rsidRDefault="008B1ADF" w:rsidP="00D835CF">
            <w:pPr>
              <w:pStyle w:val="Infotext"/>
              <w:rPr>
                <w:rFonts w:cs="Arial"/>
                <w:sz w:val="24"/>
                <w:szCs w:val="24"/>
              </w:rPr>
            </w:pPr>
            <w:r>
              <w:rPr>
                <w:rFonts w:cs="Arial"/>
                <w:sz w:val="24"/>
                <w:szCs w:val="24"/>
              </w:rPr>
              <w:t>Sean Harriss</w:t>
            </w:r>
            <w:r w:rsidR="00DE5DC7">
              <w:rPr>
                <w:rFonts w:cs="Arial"/>
                <w:sz w:val="24"/>
                <w:szCs w:val="24"/>
              </w:rPr>
              <w:t xml:space="preserve"> (Chief Executive)</w:t>
            </w:r>
            <w:r w:rsidR="00D862BD">
              <w:rPr>
                <w:rFonts w:cs="Arial"/>
                <w:sz w:val="24"/>
                <w:szCs w:val="24"/>
              </w:rPr>
              <w:t>;</w:t>
            </w:r>
          </w:p>
          <w:p w14:paraId="649EB528" w14:textId="0311316A" w:rsidR="001C7E35" w:rsidRPr="005E3A10" w:rsidRDefault="00464C72" w:rsidP="00D835CF">
            <w:pPr>
              <w:pStyle w:val="Infotext"/>
              <w:rPr>
                <w:rFonts w:cs="Arial"/>
                <w:sz w:val="24"/>
                <w:szCs w:val="24"/>
              </w:rPr>
            </w:pPr>
            <w:r>
              <w:rPr>
                <w:rFonts w:cs="Arial"/>
                <w:sz w:val="24"/>
                <w:szCs w:val="24"/>
              </w:rPr>
              <w:t>Dipti Patel</w:t>
            </w:r>
            <w:r w:rsidR="001C7E35" w:rsidRPr="005E3A10">
              <w:rPr>
                <w:rFonts w:cs="Arial"/>
                <w:sz w:val="24"/>
                <w:szCs w:val="24"/>
              </w:rPr>
              <w:t xml:space="preserve"> (</w:t>
            </w:r>
            <w:r>
              <w:rPr>
                <w:rFonts w:cs="Arial"/>
                <w:sz w:val="24"/>
                <w:szCs w:val="24"/>
              </w:rPr>
              <w:t>Corporate Director</w:t>
            </w:r>
            <w:r w:rsidR="00D862BD">
              <w:rPr>
                <w:rFonts w:cs="Arial"/>
                <w:sz w:val="24"/>
                <w:szCs w:val="24"/>
              </w:rPr>
              <w:t xml:space="preserve">, </w:t>
            </w:r>
            <w:r>
              <w:rPr>
                <w:rFonts w:cs="Arial"/>
                <w:sz w:val="24"/>
                <w:szCs w:val="24"/>
              </w:rPr>
              <w:t>Communit</w:t>
            </w:r>
            <w:r w:rsidR="007260E2">
              <w:rPr>
                <w:rFonts w:cs="Arial"/>
                <w:sz w:val="24"/>
                <w:szCs w:val="24"/>
              </w:rPr>
              <w:t>y</w:t>
            </w:r>
            <w:r w:rsidR="001C7E35" w:rsidRPr="005E3A10">
              <w:rPr>
                <w:rFonts w:cs="Arial"/>
                <w:sz w:val="24"/>
                <w:szCs w:val="24"/>
              </w:rPr>
              <w:t>)</w:t>
            </w:r>
          </w:p>
          <w:p w14:paraId="3798BF23" w14:textId="77777777" w:rsidR="001C7E35" w:rsidRPr="005E3A10" w:rsidRDefault="001C7E35" w:rsidP="00D835CF">
            <w:pPr>
              <w:pStyle w:val="Infotext"/>
              <w:rPr>
                <w:rFonts w:cs="Arial"/>
                <w:sz w:val="24"/>
                <w:szCs w:val="24"/>
              </w:rPr>
            </w:pPr>
          </w:p>
        </w:tc>
      </w:tr>
      <w:tr w:rsidR="00097E6B" w14:paraId="3B6FD8B1" w14:textId="77777777" w:rsidTr="00D862BD">
        <w:trPr>
          <w:trHeight w:val="1942"/>
        </w:trPr>
        <w:tc>
          <w:tcPr>
            <w:tcW w:w="3517"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85" w:type="dxa"/>
          </w:tcPr>
          <w:p w14:paraId="28BC15C1" w14:textId="7715314C" w:rsidR="00A01A4B" w:rsidRDefault="005901F9" w:rsidP="00D835CF">
            <w:pPr>
              <w:pStyle w:val="Infotext"/>
              <w:rPr>
                <w:rFonts w:cs="Arial"/>
                <w:sz w:val="24"/>
                <w:szCs w:val="24"/>
              </w:rPr>
            </w:pPr>
            <w:r>
              <w:rPr>
                <w:rFonts w:cs="Arial"/>
                <w:sz w:val="24"/>
                <w:szCs w:val="24"/>
              </w:rPr>
              <w:t>Councillor Graham Hens</w:t>
            </w:r>
            <w:r w:rsidR="00D161EE">
              <w:rPr>
                <w:rFonts w:cs="Arial"/>
                <w:sz w:val="24"/>
                <w:szCs w:val="24"/>
              </w:rPr>
              <w:t>on</w:t>
            </w:r>
            <w:r w:rsidR="00D862BD">
              <w:rPr>
                <w:rFonts w:cs="Arial"/>
                <w:sz w:val="24"/>
                <w:szCs w:val="24"/>
              </w:rPr>
              <w:t xml:space="preserve"> - </w:t>
            </w:r>
            <w:r w:rsidR="00A01A4B">
              <w:rPr>
                <w:rFonts w:cs="Arial"/>
                <w:sz w:val="24"/>
                <w:szCs w:val="24"/>
              </w:rPr>
              <w:t>Leader of the Council and Portfolio Holder for Strategy, Regeneration, Partnerships and Devolution</w:t>
            </w:r>
          </w:p>
          <w:p w14:paraId="298DEC94" w14:textId="77777777" w:rsidR="00B94E87" w:rsidRDefault="00B94E87" w:rsidP="00D835CF">
            <w:pPr>
              <w:pStyle w:val="Infotext"/>
              <w:rPr>
                <w:rFonts w:cs="Arial"/>
                <w:sz w:val="24"/>
                <w:szCs w:val="24"/>
              </w:rPr>
            </w:pPr>
          </w:p>
          <w:p w14:paraId="4BB591BE" w14:textId="49C65BF6" w:rsidR="00B94E87" w:rsidRDefault="00B94E87" w:rsidP="00D835CF">
            <w:pPr>
              <w:pStyle w:val="Infotext"/>
              <w:rPr>
                <w:rFonts w:cs="Arial"/>
                <w:sz w:val="24"/>
                <w:szCs w:val="24"/>
              </w:rPr>
            </w:pPr>
            <w:r>
              <w:rPr>
                <w:rFonts w:cs="Arial"/>
                <w:sz w:val="24"/>
                <w:szCs w:val="24"/>
              </w:rPr>
              <w:t>Councillor Philip O’Dell</w:t>
            </w:r>
            <w:r w:rsidR="00D862BD">
              <w:rPr>
                <w:rFonts w:cs="Arial"/>
                <w:sz w:val="24"/>
                <w:szCs w:val="24"/>
              </w:rPr>
              <w:t xml:space="preserve"> - </w:t>
            </w:r>
            <w:r>
              <w:rPr>
                <w:rFonts w:cs="Arial"/>
                <w:sz w:val="24"/>
                <w:szCs w:val="24"/>
              </w:rPr>
              <w:t>Portfolio Holder for Housing</w:t>
            </w:r>
          </w:p>
          <w:p w14:paraId="39A9A01A" w14:textId="1791B410" w:rsidR="00B94E87" w:rsidRPr="005901F9" w:rsidRDefault="00B94E87" w:rsidP="00D835CF">
            <w:pPr>
              <w:pStyle w:val="Infotext"/>
              <w:rPr>
                <w:rFonts w:cs="Arial"/>
                <w:sz w:val="24"/>
                <w:szCs w:val="24"/>
              </w:rPr>
            </w:pPr>
          </w:p>
        </w:tc>
      </w:tr>
      <w:tr w:rsidR="00097E6B" w14:paraId="3CF618C8" w14:textId="77777777" w:rsidTr="00D862BD">
        <w:trPr>
          <w:trHeight w:val="634"/>
        </w:trPr>
        <w:tc>
          <w:tcPr>
            <w:tcW w:w="3517"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85" w:type="dxa"/>
          </w:tcPr>
          <w:p w14:paraId="34C65BD0" w14:textId="696F4788"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D161EE">
            <w:pPr>
              <w:pStyle w:val="Infotext"/>
              <w:rPr>
                <w:rFonts w:cs="Arial"/>
                <w:color w:val="FF0000"/>
                <w:sz w:val="24"/>
                <w:szCs w:val="24"/>
              </w:rPr>
            </w:pPr>
          </w:p>
        </w:tc>
      </w:tr>
      <w:tr w:rsidR="00097E6B" w14:paraId="577CD75A" w14:textId="77777777" w:rsidTr="00D862BD">
        <w:trPr>
          <w:trHeight w:val="1031"/>
        </w:trPr>
        <w:tc>
          <w:tcPr>
            <w:tcW w:w="3517"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85" w:type="dxa"/>
          </w:tcPr>
          <w:p w14:paraId="4B40AAFF" w14:textId="12B8FED4" w:rsidR="001C7E35" w:rsidRPr="005E3A10" w:rsidRDefault="001C7E35" w:rsidP="00D835CF">
            <w:pPr>
              <w:pStyle w:val="Infotext"/>
              <w:rPr>
                <w:rFonts w:cs="Arial"/>
                <w:sz w:val="24"/>
                <w:szCs w:val="24"/>
              </w:rPr>
            </w:pPr>
            <w:r w:rsidRPr="005E3A10">
              <w:rPr>
                <w:rFonts w:cs="Arial"/>
                <w:sz w:val="24"/>
                <w:szCs w:val="24"/>
              </w:rPr>
              <w:t xml:space="preserve">Yes </w:t>
            </w:r>
          </w:p>
          <w:p w14:paraId="3A75E271" w14:textId="77777777" w:rsidR="00714BEE" w:rsidRPr="005E3A10" w:rsidRDefault="00714BEE" w:rsidP="00D161EE">
            <w:pPr>
              <w:rPr>
                <w:rFonts w:cs="Arial"/>
                <w:szCs w:val="24"/>
              </w:rPr>
            </w:pPr>
          </w:p>
        </w:tc>
      </w:tr>
      <w:tr w:rsidR="00097E6B" w14:paraId="7E5497E1" w14:textId="77777777" w:rsidTr="00D862BD">
        <w:trPr>
          <w:trHeight w:val="641"/>
        </w:trPr>
        <w:tc>
          <w:tcPr>
            <w:tcW w:w="3517"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85" w:type="dxa"/>
          </w:tcPr>
          <w:p w14:paraId="202552BB" w14:textId="3AB0C8E4" w:rsidR="001C7E35" w:rsidRDefault="00590A71" w:rsidP="00D835CF">
            <w:pPr>
              <w:rPr>
                <w:rFonts w:cs="Arial"/>
                <w:szCs w:val="24"/>
              </w:rPr>
            </w:pPr>
            <w:r>
              <w:rPr>
                <w:rFonts w:cs="Arial"/>
                <w:szCs w:val="24"/>
              </w:rPr>
              <w:t>Marlborough</w:t>
            </w:r>
            <w:r w:rsidR="00D862BD">
              <w:rPr>
                <w:rFonts w:cs="Arial"/>
                <w:szCs w:val="24"/>
              </w:rPr>
              <w:t xml:space="preserve">, </w:t>
            </w:r>
            <w:r w:rsidR="00812E8B">
              <w:rPr>
                <w:rFonts w:cs="Arial"/>
                <w:szCs w:val="24"/>
              </w:rPr>
              <w:t>Greenhill</w:t>
            </w:r>
            <w:r w:rsidR="00307F76">
              <w:rPr>
                <w:rFonts w:cs="Arial"/>
                <w:szCs w:val="24"/>
              </w:rPr>
              <w:t>.</w:t>
            </w:r>
          </w:p>
          <w:p w14:paraId="52E38AE7" w14:textId="0CCBFCF5" w:rsidR="00307F76" w:rsidRPr="00307F76" w:rsidRDefault="00307F76" w:rsidP="00D835CF">
            <w:pPr>
              <w:rPr>
                <w:rFonts w:cs="Arial"/>
                <w:b/>
                <w:color w:val="FF0000"/>
                <w:szCs w:val="24"/>
              </w:rPr>
            </w:pPr>
          </w:p>
        </w:tc>
      </w:tr>
      <w:tr w:rsidR="00097E6B" w14:paraId="5F1445BF" w14:textId="77777777" w:rsidTr="00D862BD">
        <w:trPr>
          <w:trHeight w:val="1106"/>
        </w:trPr>
        <w:tc>
          <w:tcPr>
            <w:tcW w:w="3517"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85" w:type="dxa"/>
          </w:tcPr>
          <w:p w14:paraId="49E0EADC" w14:textId="77777777" w:rsidR="008C3976" w:rsidRDefault="00812E8B" w:rsidP="001C7E35">
            <w:pPr>
              <w:pStyle w:val="Infotext"/>
              <w:rPr>
                <w:rFonts w:cs="Arial"/>
                <w:sz w:val="24"/>
                <w:szCs w:val="24"/>
              </w:rPr>
            </w:pPr>
            <w:r>
              <w:rPr>
                <w:rFonts w:cs="Arial"/>
                <w:sz w:val="24"/>
                <w:szCs w:val="24"/>
              </w:rPr>
              <w:t>Appendix A – Milton Road Development Site Plan</w:t>
            </w:r>
          </w:p>
          <w:p w14:paraId="6F1A0FE2" w14:textId="77777777" w:rsidR="008C3976" w:rsidRDefault="008C3976" w:rsidP="001C7E35">
            <w:pPr>
              <w:pStyle w:val="Infotext"/>
              <w:rPr>
                <w:rFonts w:cs="Arial"/>
                <w:sz w:val="24"/>
                <w:szCs w:val="24"/>
              </w:rPr>
            </w:pPr>
          </w:p>
          <w:p w14:paraId="6668D730" w14:textId="08B3E95F" w:rsidR="001C7E35" w:rsidRPr="005E3A10" w:rsidRDefault="001C7E35" w:rsidP="00D053FE">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3E503E">
        <w:trPr>
          <w:tblHeader/>
        </w:trPr>
        <w:tc>
          <w:tcPr>
            <w:tcW w:w="8309"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3E503E">
        <w:trPr>
          <w:tblHeader/>
        </w:trPr>
        <w:tc>
          <w:tcPr>
            <w:tcW w:w="8309" w:type="dxa"/>
          </w:tcPr>
          <w:p w14:paraId="4F6F76A4" w14:textId="00134745" w:rsidR="001C7E35" w:rsidRDefault="00F53D4F" w:rsidP="00605A4C">
            <w:pPr>
              <w:rPr>
                <w:color w:val="0000FF"/>
              </w:rPr>
            </w:pPr>
            <w:r>
              <w:t>This report</w:t>
            </w:r>
            <w:r w:rsidR="005175CF">
              <w:t xml:space="preserve"> recommends the </w:t>
            </w:r>
            <w:r w:rsidR="000171D7">
              <w:t>commissioning</w:t>
            </w:r>
            <w:r w:rsidR="005175CF">
              <w:t xml:space="preserve"> of the </w:t>
            </w:r>
            <w:r w:rsidR="00F84CBA">
              <w:t xml:space="preserve">works to the </w:t>
            </w:r>
            <w:r w:rsidR="005175CF">
              <w:t>housing development site at Milton Road (formerly known as plot S</w:t>
            </w:r>
            <w:r w:rsidR="00852B52">
              <w:t>) into the Harrow Strategic Development Partnership</w:t>
            </w:r>
            <w:r w:rsidR="00C90B02">
              <w:t xml:space="preserve"> (HSDP)</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2B6F7A66" w:rsidR="001C7E35" w:rsidRDefault="001C7E35" w:rsidP="00605A4C">
            <w:r>
              <w:t>Cabinet is requested to:</w:t>
            </w:r>
          </w:p>
          <w:p w14:paraId="6EB77797" w14:textId="5E95731D" w:rsidR="00CD6E09" w:rsidRDefault="00CD6E09" w:rsidP="00605A4C"/>
          <w:p w14:paraId="266DFDB9" w14:textId="14B8ACDA" w:rsidR="00CD6E09" w:rsidRDefault="00CD6E09" w:rsidP="00097E6B">
            <w:pPr>
              <w:pStyle w:val="ListParagraph"/>
              <w:numPr>
                <w:ilvl w:val="0"/>
                <w:numId w:val="49"/>
              </w:numPr>
            </w:pPr>
            <w:r>
              <w:t xml:space="preserve">Agree that the </w:t>
            </w:r>
            <w:r w:rsidR="00A970A1">
              <w:t xml:space="preserve">current </w:t>
            </w:r>
            <w:r w:rsidR="00D862BD">
              <w:t>Pre-Contract</w:t>
            </w:r>
            <w:r w:rsidR="00A970A1">
              <w:t xml:space="preserve"> Services Agreement </w:t>
            </w:r>
            <w:r w:rsidR="00C841B4">
              <w:t xml:space="preserve">(PCSA) </w:t>
            </w:r>
            <w:r w:rsidR="00A970A1">
              <w:t xml:space="preserve">between the Council and Wates be extended to allow for </w:t>
            </w:r>
            <w:r w:rsidR="00D862BD">
              <w:t>Royal Institute of British Architects (</w:t>
            </w:r>
            <w:r w:rsidR="00A970A1">
              <w:t>RIBA</w:t>
            </w:r>
            <w:r w:rsidR="00D862BD">
              <w:t>)</w:t>
            </w:r>
            <w:r w:rsidR="00A970A1">
              <w:t xml:space="preserve"> stage 4 design and preparation for </w:t>
            </w:r>
            <w:r w:rsidR="00EB7139">
              <w:t>the demolition of Civic 9.</w:t>
            </w:r>
          </w:p>
          <w:p w14:paraId="17C0F62B" w14:textId="77777777" w:rsidR="00846650" w:rsidRDefault="00846650" w:rsidP="006A462F">
            <w:pPr>
              <w:ind w:left="360"/>
            </w:pPr>
          </w:p>
          <w:p w14:paraId="206C8880" w14:textId="626B9F69" w:rsidR="00B2760B" w:rsidRDefault="00846650" w:rsidP="00097E6B">
            <w:pPr>
              <w:pStyle w:val="ListParagraph"/>
              <w:numPr>
                <w:ilvl w:val="0"/>
                <w:numId w:val="49"/>
              </w:numPr>
            </w:pPr>
            <w:r>
              <w:t>Delegate authority to the Corporate Director</w:t>
            </w:r>
            <w:r w:rsidR="003F735A">
              <w:t xml:space="preserve"> Community</w:t>
            </w:r>
            <w:r w:rsidR="00D862BD">
              <w:t xml:space="preserve">, following consultation with the </w:t>
            </w:r>
            <w:r w:rsidR="00D862BD">
              <w:rPr>
                <w:rFonts w:cs="Arial"/>
                <w:szCs w:val="24"/>
              </w:rPr>
              <w:t>Portfolio Holder for Strategy, Regeneration, Partnerships and Devolution and Portfolio Holder for Housing,</w:t>
            </w:r>
            <w:r w:rsidR="003F735A">
              <w:t xml:space="preserve"> to agree the terms of the extension to the existing </w:t>
            </w:r>
            <w:r w:rsidR="00D862BD">
              <w:t>Pre-Contract</w:t>
            </w:r>
            <w:r w:rsidR="004A1F08">
              <w:t xml:space="preserve"> Service Agreement and to </w:t>
            </w:r>
            <w:proofErr w:type="gramStart"/>
            <w:r w:rsidR="004A1F08">
              <w:t>enter into</w:t>
            </w:r>
            <w:proofErr w:type="gramEnd"/>
            <w:r w:rsidR="004A1F08">
              <w:t xml:space="preserve"> </w:t>
            </w:r>
            <w:r w:rsidR="00CB35CC">
              <w:t>all appropriate legal documentation.</w:t>
            </w:r>
          </w:p>
          <w:p w14:paraId="47CCB107" w14:textId="12B04418" w:rsidR="00307C67" w:rsidRDefault="00307C67" w:rsidP="00605A4C"/>
          <w:p w14:paraId="0F310B70" w14:textId="61F9F906" w:rsidR="00307C67" w:rsidRDefault="00307C67" w:rsidP="00097E6B">
            <w:pPr>
              <w:pStyle w:val="ListParagraph"/>
              <w:numPr>
                <w:ilvl w:val="0"/>
                <w:numId w:val="49"/>
              </w:numPr>
            </w:pPr>
            <w:r>
              <w:t xml:space="preserve">Agree that the </w:t>
            </w:r>
            <w:r w:rsidR="00D862BD">
              <w:t>Harrow Strategic Development Partnership (</w:t>
            </w:r>
            <w:r w:rsidR="00CB35CC">
              <w:t>HSDP</w:t>
            </w:r>
            <w:r w:rsidR="00D862BD">
              <w:t>)</w:t>
            </w:r>
            <w:r w:rsidR="00041DB3">
              <w:t xml:space="preserve"> </w:t>
            </w:r>
            <w:r w:rsidR="00CA6BC5">
              <w:t xml:space="preserve">be commissioned to carry out </w:t>
            </w:r>
            <w:r w:rsidR="00524ADA">
              <w:t xml:space="preserve">the </w:t>
            </w:r>
            <w:r w:rsidR="00C90B02">
              <w:t xml:space="preserve">demolition and redevelopment </w:t>
            </w:r>
            <w:r w:rsidR="00524ADA">
              <w:t xml:space="preserve">of the site at Milton Road </w:t>
            </w:r>
            <w:r w:rsidR="00C90B02">
              <w:t>under a Community Works Agreement as provided for in the founding documents of the HSDP.</w:t>
            </w:r>
          </w:p>
          <w:p w14:paraId="421F1EC8" w14:textId="3EECABC2" w:rsidR="00C90B02" w:rsidRDefault="00C90B02" w:rsidP="00605A4C"/>
          <w:p w14:paraId="188607CC" w14:textId="77255CBD" w:rsidR="00C90B02" w:rsidRDefault="00C90B02" w:rsidP="00F62199">
            <w:pPr>
              <w:pStyle w:val="ListParagraph"/>
              <w:numPr>
                <w:ilvl w:val="0"/>
                <w:numId w:val="49"/>
              </w:numPr>
            </w:pPr>
            <w:r>
              <w:t xml:space="preserve">Delegate </w:t>
            </w:r>
            <w:r w:rsidR="006D5D67">
              <w:t xml:space="preserve">authority </w:t>
            </w:r>
            <w:r>
              <w:t xml:space="preserve">to the </w:t>
            </w:r>
            <w:r w:rsidR="00406E4D">
              <w:t xml:space="preserve">Chief Executive </w:t>
            </w:r>
            <w:r w:rsidR="006D5D67">
              <w:t xml:space="preserve">following consultation with </w:t>
            </w:r>
            <w:r w:rsidR="00727CD9">
              <w:t xml:space="preserve">the </w:t>
            </w:r>
            <w:r w:rsidR="00727CD9" w:rsidRPr="00727CD9">
              <w:t>Corporate Director Community</w:t>
            </w:r>
            <w:r w:rsidR="00727CD9">
              <w:t xml:space="preserve">, </w:t>
            </w:r>
            <w:r w:rsidR="00FB2942">
              <w:t>the Leader of the Council</w:t>
            </w:r>
            <w:r w:rsidR="00D862BD">
              <w:t xml:space="preserve"> and </w:t>
            </w:r>
            <w:r w:rsidR="00D862BD">
              <w:rPr>
                <w:rFonts w:cs="Arial"/>
                <w:szCs w:val="24"/>
              </w:rPr>
              <w:t>Portfolio Holder for Strategy, Regeneration, Partnerships and Devolution</w:t>
            </w:r>
            <w:r w:rsidR="00FB2942">
              <w:t xml:space="preserve"> and the Portfolio Holder for Housing</w:t>
            </w:r>
            <w:r w:rsidR="000F2704">
              <w:t xml:space="preserve"> to agree the terms of </w:t>
            </w:r>
            <w:r w:rsidR="00744CAF">
              <w:t xml:space="preserve">and formally enter into </w:t>
            </w:r>
            <w:r w:rsidR="000F2704">
              <w:t xml:space="preserve">the Community Works </w:t>
            </w:r>
            <w:r w:rsidR="00C93A4B">
              <w:t>A</w:t>
            </w:r>
            <w:r w:rsidR="000F2704">
              <w:t>greement</w:t>
            </w:r>
            <w:r w:rsidR="00B421FD">
              <w:t>.</w:t>
            </w:r>
          </w:p>
          <w:p w14:paraId="130A1D51" w14:textId="77777777" w:rsidR="00591016" w:rsidRDefault="00591016" w:rsidP="00605A4C"/>
          <w:p w14:paraId="3D1F028B" w14:textId="77777777" w:rsidR="00333FAA" w:rsidRDefault="00E13BEF" w:rsidP="00F17885">
            <w:pPr>
              <w:pStyle w:val="Heading3"/>
              <w:ind w:left="0" w:firstLine="0"/>
              <w:jc w:val="left"/>
              <w:rPr>
                <w:b w:val="0"/>
                <w:bCs w:val="0"/>
                <w:sz w:val="24"/>
                <w:szCs w:val="24"/>
              </w:rPr>
            </w:pPr>
            <w:r>
              <w:t>Reason: (f</w:t>
            </w:r>
            <w:r w:rsidR="001C7E35" w:rsidRPr="00605A4C">
              <w:t>or recommendation</w:t>
            </w:r>
            <w:r w:rsidR="00714BEE" w:rsidRPr="00605A4C">
              <w:t>s</w:t>
            </w:r>
            <w:r w:rsidR="001C7E35" w:rsidRPr="00605A4C">
              <w:t>)</w:t>
            </w:r>
            <w:r w:rsidR="00F91AE4">
              <w:t xml:space="preserve"> </w:t>
            </w:r>
            <w:r w:rsidR="00F17885" w:rsidRPr="00B8553B">
              <w:rPr>
                <w:b w:val="0"/>
                <w:bCs w:val="0"/>
                <w:sz w:val="24"/>
                <w:szCs w:val="24"/>
              </w:rPr>
              <w:t xml:space="preserve">To enable the development of </w:t>
            </w:r>
            <w:r w:rsidR="00B8553B" w:rsidRPr="00B8553B">
              <w:rPr>
                <w:b w:val="0"/>
                <w:bCs w:val="0"/>
                <w:sz w:val="24"/>
                <w:szCs w:val="24"/>
              </w:rPr>
              <w:t>housing on the Milton Road site</w:t>
            </w:r>
            <w:r w:rsidR="00833941">
              <w:rPr>
                <w:b w:val="0"/>
                <w:bCs w:val="0"/>
                <w:sz w:val="24"/>
                <w:szCs w:val="24"/>
              </w:rPr>
              <w:t xml:space="preserve"> and</w:t>
            </w:r>
            <w:r w:rsidR="00B8553B" w:rsidRPr="00B8553B">
              <w:rPr>
                <w:b w:val="0"/>
                <w:bCs w:val="0"/>
                <w:sz w:val="24"/>
                <w:szCs w:val="24"/>
              </w:rPr>
              <w:t>, obtaining the benefit of funding granted under the Building Council Homes for Londoners programme</w:t>
            </w:r>
          </w:p>
          <w:p w14:paraId="313BC81E" w14:textId="010BCF5E" w:rsidR="003E503E" w:rsidRPr="003E503E" w:rsidRDefault="003E503E" w:rsidP="003E503E"/>
        </w:tc>
      </w:tr>
    </w:tbl>
    <w:p w14:paraId="0204F38A" w14:textId="77777777" w:rsidR="00333FAA" w:rsidRDefault="00333FAA" w:rsidP="00F06E4E">
      <w:pPr>
        <w:pStyle w:val="Heading2"/>
        <w:spacing w:before="480"/>
      </w:pPr>
      <w:r>
        <w:t>Section 2 – Report</w:t>
      </w:r>
    </w:p>
    <w:p w14:paraId="76168D48" w14:textId="77777777" w:rsidR="001C7E35" w:rsidRDefault="001C7E35" w:rsidP="00F06E4E">
      <w:pPr>
        <w:pStyle w:val="Heading3"/>
        <w:spacing w:before="240"/>
      </w:pPr>
      <w:r>
        <w:t>Introductory paragraph</w:t>
      </w:r>
    </w:p>
    <w:p w14:paraId="4D2A4C23" w14:textId="77777777" w:rsidR="0087455F" w:rsidRDefault="0087455F" w:rsidP="001C7E35"/>
    <w:p w14:paraId="5A36F951" w14:textId="5C21B76D" w:rsidR="001C7E35" w:rsidRDefault="0087455F" w:rsidP="001C7E35">
      <w:r>
        <w:t xml:space="preserve">This report takes forward the redevelopment of Milton Road and </w:t>
      </w:r>
      <w:r w:rsidR="00833941">
        <w:t xml:space="preserve">facilitates the </w:t>
      </w:r>
      <w:r w:rsidR="00215DBF">
        <w:t xml:space="preserve">redevelopment of </w:t>
      </w:r>
      <w:r>
        <w:t xml:space="preserve">Poets </w:t>
      </w:r>
      <w:r w:rsidR="00215DBF">
        <w:t>C</w:t>
      </w:r>
      <w:r>
        <w:t>orner</w:t>
      </w:r>
      <w:r w:rsidR="00AF45E4">
        <w:t xml:space="preserve"> and will enable the provision of much needed affordable housing</w:t>
      </w:r>
      <w:r w:rsidR="0082040A">
        <w:t xml:space="preserve"> to meet the needs of the Council’s residents.</w:t>
      </w:r>
      <w:r w:rsidR="001C7E35">
        <w:t xml:space="preserve">  </w:t>
      </w:r>
    </w:p>
    <w:p w14:paraId="0DE1DECF" w14:textId="2D2D583C" w:rsidR="00A24C94" w:rsidRDefault="00A24C94" w:rsidP="001C7E35"/>
    <w:p w14:paraId="3F9EAFA4" w14:textId="0400FAB0" w:rsidR="00A24C94" w:rsidRDefault="00A24C94" w:rsidP="001C7E35">
      <w:r>
        <w:t xml:space="preserve">The report sets out the contractual approach to delivering the </w:t>
      </w:r>
      <w:r w:rsidR="00415D62">
        <w:t xml:space="preserve">Milton Road development, together with </w:t>
      </w:r>
      <w:r w:rsidR="00F47139">
        <w:t xml:space="preserve">the </w:t>
      </w:r>
      <w:r w:rsidR="001A7ACB">
        <w:t xml:space="preserve">details of the scheme and the financial </w:t>
      </w:r>
      <w:r w:rsidR="001A7ACB">
        <w:lastRenderedPageBreak/>
        <w:t xml:space="preserve">implications. It is proposed that this site should be developed by the </w:t>
      </w:r>
      <w:r w:rsidR="00652205">
        <w:t>Harrow Strategic Development Partnership</w:t>
      </w:r>
    </w:p>
    <w:p w14:paraId="5DB4FB6D" w14:textId="77777777" w:rsidR="00D862BD" w:rsidRDefault="00D862BD" w:rsidP="00A1211C">
      <w:pPr>
        <w:pStyle w:val="Heading3"/>
        <w:spacing w:before="240"/>
        <w:ind w:left="0" w:firstLine="0"/>
        <w:jc w:val="left"/>
      </w:pPr>
    </w:p>
    <w:p w14:paraId="7C0A04C5" w14:textId="69723700" w:rsidR="000F12D6" w:rsidRDefault="001C7E35" w:rsidP="00A1211C">
      <w:pPr>
        <w:pStyle w:val="Heading3"/>
        <w:spacing w:before="240"/>
        <w:ind w:left="0" w:firstLine="0"/>
        <w:jc w:val="left"/>
      </w:pPr>
      <w:r>
        <w:t xml:space="preserve">Options considered </w:t>
      </w:r>
    </w:p>
    <w:p w14:paraId="070E116E" w14:textId="41BF6C9F" w:rsidR="00D5701A" w:rsidRDefault="00D5701A" w:rsidP="00D5701A"/>
    <w:p w14:paraId="67B6EA6C" w14:textId="6044F7B3" w:rsidR="00D5701A" w:rsidRDefault="00D5701A" w:rsidP="00D5701A">
      <w:r>
        <w:t>It would be feasible to launch a new procurement to find a construction partner</w:t>
      </w:r>
      <w:r w:rsidR="00F2734E">
        <w:t xml:space="preserve"> and separately procure design and supervision services</w:t>
      </w:r>
      <w:r w:rsidR="006F3E34">
        <w:t xml:space="preserve">. This would necessitate a procurement period of </w:t>
      </w:r>
      <w:r w:rsidR="00571E08">
        <w:t xml:space="preserve">some </w:t>
      </w:r>
      <w:r w:rsidR="00871265">
        <w:t xml:space="preserve">months which would preclude a start on site in January. </w:t>
      </w:r>
      <w:r w:rsidR="00FE3AE1">
        <w:t>In addition</w:t>
      </w:r>
      <w:r w:rsidR="00D5110B">
        <w:t>,</w:t>
      </w:r>
      <w:r w:rsidR="00FE3AE1">
        <w:t xml:space="preserve"> a separate design team</w:t>
      </w:r>
      <w:r w:rsidR="00146671">
        <w:t xml:space="preserve"> from this point would negate the benefits of having this site developed by the </w:t>
      </w:r>
      <w:r w:rsidR="00D862BD">
        <w:t>long-term</w:t>
      </w:r>
      <w:r w:rsidR="00146671">
        <w:t xml:space="preserve"> </w:t>
      </w:r>
      <w:r w:rsidR="00C902AA">
        <w:t>developers and design team for the larger neighbouring site.</w:t>
      </w:r>
    </w:p>
    <w:p w14:paraId="6F0E639B" w14:textId="161014E4" w:rsidR="008578BB" w:rsidRDefault="008578BB" w:rsidP="00D5701A"/>
    <w:p w14:paraId="01FE31BE" w14:textId="1486CB09" w:rsidR="008578BB" w:rsidRPr="00D5701A" w:rsidRDefault="00D96016" w:rsidP="00D5701A">
      <w:r>
        <w:t xml:space="preserve">The commissioning of this work to the HSDP will result in some savings </w:t>
      </w:r>
      <w:r w:rsidR="00316424">
        <w:t xml:space="preserve">to staff time in any event as the HSDP is </w:t>
      </w:r>
      <w:r w:rsidR="00100ED1">
        <w:t>D</w:t>
      </w:r>
      <w:r w:rsidR="00316424">
        <w:t xml:space="preserve">evelopment </w:t>
      </w:r>
      <w:r w:rsidR="00100ED1">
        <w:t>M</w:t>
      </w:r>
      <w:r w:rsidR="00316424">
        <w:t>an</w:t>
      </w:r>
      <w:r w:rsidR="00100ED1">
        <w:t>a</w:t>
      </w:r>
      <w:r w:rsidR="00316424">
        <w:t>ger of the sch</w:t>
      </w:r>
      <w:r w:rsidR="00100ED1">
        <w:t>e</w:t>
      </w:r>
      <w:r w:rsidR="00316424">
        <w:t>me.</w:t>
      </w:r>
    </w:p>
    <w:p w14:paraId="2F507484" w14:textId="54D4CC62" w:rsidR="001C7BC1" w:rsidRDefault="00333FAA" w:rsidP="001C7BC1">
      <w:pPr>
        <w:pStyle w:val="Heading2"/>
        <w:spacing w:before="240"/>
        <w:rPr>
          <w:rFonts w:ascii="Arial" w:hAnsi="Arial"/>
          <w:color w:val="000000" w:themeColor="text1"/>
          <w:sz w:val="28"/>
          <w:szCs w:val="28"/>
        </w:rPr>
      </w:pPr>
      <w:r w:rsidRPr="001C7BC1">
        <w:rPr>
          <w:rFonts w:ascii="Arial" w:hAnsi="Arial"/>
          <w:color w:val="000000" w:themeColor="text1"/>
          <w:sz w:val="28"/>
          <w:szCs w:val="28"/>
        </w:rPr>
        <w:t xml:space="preserve">Background </w:t>
      </w:r>
    </w:p>
    <w:p w14:paraId="3AF4CF84" w14:textId="77777777" w:rsidR="00F61D15" w:rsidRDefault="00F61D15" w:rsidP="001C7BC1"/>
    <w:p w14:paraId="02B1AB70" w14:textId="74FD7816" w:rsidR="001C7BC1" w:rsidRDefault="00AA5417" w:rsidP="001C7BC1">
      <w:r>
        <w:t xml:space="preserve">The Council has developed plans for </w:t>
      </w:r>
      <w:r w:rsidR="00211167">
        <w:t xml:space="preserve">building new affordable housing on the site at Milton </w:t>
      </w:r>
      <w:r w:rsidR="00F30050">
        <w:t xml:space="preserve">Road adjacent to the current Civic Centre. This site is shown on the attached plan as Appendix </w:t>
      </w:r>
      <w:r w:rsidR="005B3AA0">
        <w:t>1 and includes Civic 9 and the car park behind.</w:t>
      </w:r>
      <w:r w:rsidR="00FB6DF1">
        <w:t xml:space="preserve"> </w:t>
      </w:r>
    </w:p>
    <w:p w14:paraId="68CD22AE" w14:textId="20B84E18" w:rsidR="005A3358" w:rsidRDefault="005A3358" w:rsidP="001C7BC1"/>
    <w:p w14:paraId="5998C33D" w14:textId="0C34EE6D" w:rsidR="005A3358" w:rsidRDefault="005A3358" w:rsidP="001C7BC1">
      <w:r>
        <w:t xml:space="preserve">The Council obtained grant from the GLA from the Building Council Homes for Londoners </w:t>
      </w:r>
      <w:r w:rsidR="1D769977">
        <w:t>(</w:t>
      </w:r>
      <w:proofErr w:type="spellStart"/>
      <w:r w:rsidR="1D769977">
        <w:t>BCHfL</w:t>
      </w:r>
      <w:proofErr w:type="spellEnd"/>
      <w:r w:rsidR="1D769977">
        <w:t xml:space="preserve">) </w:t>
      </w:r>
      <w:r>
        <w:t>programme</w:t>
      </w:r>
      <w:r w:rsidR="002E50AC">
        <w:t xml:space="preserve"> in the sum of</w:t>
      </w:r>
      <w:r w:rsidR="3BEAF305">
        <w:t xml:space="preserve"> £32m, with a grant rate of £100k per affordable rent home and £28k per shared ownership home. This project will be funded within the </w:t>
      </w:r>
      <w:proofErr w:type="spellStart"/>
      <w:r w:rsidR="00611F14">
        <w:t>BCHfL</w:t>
      </w:r>
      <w:proofErr w:type="spellEnd"/>
      <w:r w:rsidR="00611F14">
        <w:t xml:space="preserve"> </w:t>
      </w:r>
      <w:r w:rsidR="091206B6">
        <w:t xml:space="preserve">programme budget </w:t>
      </w:r>
      <w:r w:rsidR="000D2891">
        <w:t xml:space="preserve">(which is funded from the external grant and Council borrowing) </w:t>
      </w:r>
      <w:r w:rsidR="091206B6">
        <w:t xml:space="preserve">but </w:t>
      </w:r>
      <w:r w:rsidR="00F61D15">
        <w:t xml:space="preserve">in order to satisfy the terms of the grant funding </w:t>
      </w:r>
      <w:r w:rsidR="005B61F2">
        <w:t xml:space="preserve">a meaningful start on site </w:t>
      </w:r>
      <w:proofErr w:type="gramStart"/>
      <w:r w:rsidR="005B61F2">
        <w:t>has to</w:t>
      </w:r>
      <w:proofErr w:type="gramEnd"/>
      <w:r w:rsidR="005B61F2">
        <w:t xml:space="preserve"> be made by</w:t>
      </w:r>
      <w:r w:rsidR="00FA135E">
        <w:t xml:space="preserve"> 31</w:t>
      </w:r>
      <w:r w:rsidR="00FA135E" w:rsidRPr="0F2ABB0F">
        <w:rPr>
          <w:vertAlign w:val="superscript"/>
        </w:rPr>
        <w:t>st</w:t>
      </w:r>
      <w:r w:rsidR="00FA135E">
        <w:t xml:space="preserve"> March 2022.</w:t>
      </w:r>
      <w:r w:rsidR="0058226C">
        <w:t xml:space="preserve"> </w:t>
      </w:r>
    </w:p>
    <w:p w14:paraId="4B9DBA1C" w14:textId="7CF9A5F3" w:rsidR="0058226C" w:rsidRDefault="0058226C" w:rsidP="001C7BC1"/>
    <w:p w14:paraId="2804678C" w14:textId="794D9058" w:rsidR="00CE525E" w:rsidRDefault="0058226C" w:rsidP="001C7BC1">
      <w:r>
        <w:t>Because of this time imperative</w:t>
      </w:r>
      <w:r w:rsidR="0067595C">
        <w:t xml:space="preserve">, together with the </w:t>
      </w:r>
      <w:r w:rsidR="004B6AF0">
        <w:t xml:space="preserve">immediate </w:t>
      </w:r>
      <w:r w:rsidR="0067595C">
        <w:t xml:space="preserve">availability of the </w:t>
      </w:r>
      <w:r w:rsidR="004B6AF0">
        <w:t>necessary</w:t>
      </w:r>
      <w:r w:rsidR="0067595C">
        <w:t xml:space="preserve"> resources</w:t>
      </w:r>
      <w:r w:rsidR="00C560B6">
        <w:t xml:space="preserve"> and because of the critical nature of this site being immediately adjacent to the forthcoming HSDP development</w:t>
      </w:r>
      <w:r w:rsidR="00942AC2">
        <w:t xml:space="preserve"> at Poets Corner, it was </w:t>
      </w:r>
      <w:r w:rsidR="0067595C">
        <w:t>agreed that Wates Construction Ltd would be appointed under a Pre Contract Services Agreement</w:t>
      </w:r>
      <w:r w:rsidR="008538A8">
        <w:t xml:space="preserve"> to take the scheme to planning permission</w:t>
      </w:r>
      <w:r w:rsidR="00E117DC">
        <w:t>. This enabled the use of the HSDP design team</w:t>
      </w:r>
      <w:r w:rsidR="00D91208">
        <w:t>, particularly the architects Shepherd Robson</w:t>
      </w:r>
      <w:r w:rsidR="00E117DC">
        <w:t>.</w:t>
      </w:r>
    </w:p>
    <w:p w14:paraId="7DE5A4AA" w14:textId="77777777" w:rsidR="00CE525E" w:rsidRDefault="00CE525E" w:rsidP="001C7BC1"/>
    <w:p w14:paraId="10605D0E" w14:textId="091163C2" w:rsidR="0058226C" w:rsidRDefault="00CE525E" w:rsidP="001C7BC1">
      <w:r>
        <w:t>As at the time</w:t>
      </w:r>
      <w:r w:rsidR="007C4F3E">
        <w:t xml:space="preserve"> </w:t>
      </w:r>
      <w:r w:rsidR="00033B45">
        <w:t xml:space="preserve">of Wates’ appointment </w:t>
      </w:r>
      <w:r w:rsidR="007C4F3E">
        <w:t>in</w:t>
      </w:r>
      <w:r w:rsidR="00E50B3C">
        <w:t xml:space="preserve"> July 2021</w:t>
      </w:r>
      <w:r>
        <w:t xml:space="preserve">, the HSDP </w:t>
      </w:r>
      <w:r w:rsidR="00151C10">
        <w:t>had not been established legally, t</w:t>
      </w:r>
      <w:r w:rsidR="00E117DC">
        <w:t>his appointment was made</w:t>
      </w:r>
      <w:r w:rsidR="00D26692">
        <w:t xml:space="preserve"> </w:t>
      </w:r>
      <w:r w:rsidR="007C4F3E">
        <w:t>through</w:t>
      </w:r>
      <w:r w:rsidR="00C155C3">
        <w:t xml:space="preserve"> the </w:t>
      </w:r>
      <w:r w:rsidR="003A671E" w:rsidRPr="00742E9C">
        <w:rPr>
          <w:rFonts w:cs="Arial"/>
          <w:szCs w:val="24"/>
        </w:rPr>
        <w:t>Notting Hill Housing Trust (NHHT) – Contractors Framework.</w:t>
      </w:r>
      <w:r w:rsidR="00C155C3">
        <w:t xml:space="preserve">, although Wates </w:t>
      </w:r>
      <w:r>
        <w:t xml:space="preserve">agreed </w:t>
      </w:r>
      <w:r w:rsidR="00B135AE">
        <w:t xml:space="preserve">to </w:t>
      </w:r>
      <w:r>
        <w:t>use the rates tendered in the bid for the HSDP which were more advantageous than those offered on the framework.</w:t>
      </w:r>
    </w:p>
    <w:p w14:paraId="21E3B2AB" w14:textId="374A0491" w:rsidR="00B766F3" w:rsidRDefault="00B766F3" w:rsidP="001C7BC1"/>
    <w:p w14:paraId="4D9E722C" w14:textId="5A2679A6" w:rsidR="00151C10" w:rsidRDefault="00B766F3" w:rsidP="001C7BC1">
      <w:r>
        <w:t>Wates, together with the</w:t>
      </w:r>
      <w:r w:rsidR="42F4E4CC">
        <w:t>ir</w:t>
      </w:r>
      <w:r>
        <w:t xml:space="preserve"> design team have prepared cost plans and designs</w:t>
      </w:r>
      <w:r w:rsidR="008C2D69">
        <w:t xml:space="preserve"> </w:t>
      </w:r>
      <w:r w:rsidR="79FA2439">
        <w:t xml:space="preserve">overseen by </w:t>
      </w:r>
      <w:r w:rsidR="008C2D69">
        <w:t>t</w:t>
      </w:r>
      <w:r w:rsidR="005807A3">
        <w:t xml:space="preserve">he </w:t>
      </w:r>
      <w:r w:rsidR="174CEF08">
        <w:t xml:space="preserve">council’s client team </w:t>
      </w:r>
      <w:r w:rsidR="3DAD253C">
        <w:t xml:space="preserve">who </w:t>
      </w:r>
      <w:r w:rsidR="174CEF08">
        <w:t>submi</w:t>
      </w:r>
      <w:r w:rsidR="0C34B2FC">
        <w:t xml:space="preserve">tted the </w:t>
      </w:r>
      <w:r w:rsidR="005807A3">
        <w:t xml:space="preserve">application for planning </w:t>
      </w:r>
      <w:r w:rsidR="00B16322">
        <w:t xml:space="preserve">permission on </w:t>
      </w:r>
      <w:r w:rsidR="00621B05">
        <w:t>October 21</w:t>
      </w:r>
      <w:r w:rsidR="00621B05" w:rsidRPr="0F2ABB0F">
        <w:rPr>
          <w:vertAlign w:val="superscript"/>
        </w:rPr>
        <w:t>st</w:t>
      </w:r>
      <w:r w:rsidR="00051FA0">
        <w:t xml:space="preserve"> following a period of consultation with </w:t>
      </w:r>
      <w:proofErr w:type="gramStart"/>
      <w:r w:rsidR="00051FA0">
        <w:t>local residents</w:t>
      </w:r>
      <w:proofErr w:type="gramEnd"/>
      <w:r w:rsidR="00051FA0">
        <w:t xml:space="preserve"> and stakeholders, and</w:t>
      </w:r>
      <w:r>
        <w:t xml:space="preserve"> </w:t>
      </w:r>
      <w:r w:rsidR="00B135AE">
        <w:t>subsequent</w:t>
      </w:r>
      <w:r w:rsidR="00051FA0">
        <w:t xml:space="preserve"> design amendments</w:t>
      </w:r>
      <w:r w:rsidR="002B7133">
        <w:t>.</w:t>
      </w:r>
    </w:p>
    <w:p w14:paraId="52FE9098" w14:textId="4D09C79E" w:rsidR="00EB24E9" w:rsidRDefault="00EB24E9" w:rsidP="001C7BC1"/>
    <w:p w14:paraId="0B3BDDA1" w14:textId="0531483F" w:rsidR="00EB24E9" w:rsidRPr="001C7BC1" w:rsidRDefault="00EB24E9" w:rsidP="001C7BC1">
      <w:r>
        <w:t>The application for prior approval to demolish Civic 9 will be submitted to Planning</w:t>
      </w:r>
      <w:r w:rsidR="00D6360D">
        <w:t xml:space="preserve"> in mid-November 2021.</w:t>
      </w:r>
    </w:p>
    <w:p w14:paraId="0E637316" w14:textId="6BF36800" w:rsidR="00333FAA" w:rsidRDefault="001C7BC1" w:rsidP="001C7BC1">
      <w:pPr>
        <w:pStyle w:val="Heading2"/>
        <w:spacing w:before="240"/>
        <w:rPr>
          <w:rFonts w:ascii="Arial" w:hAnsi="Arial"/>
          <w:color w:val="000000" w:themeColor="text1"/>
          <w:sz w:val="28"/>
          <w:szCs w:val="28"/>
        </w:rPr>
      </w:pPr>
      <w:r w:rsidRPr="00AF6BF1">
        <w:rPr>
          <w:rFonts w:ascii="Arial" w:hAnsi="Arial"/>
          <w:color w:val="000000" w:themeColor="text1"/>
          <w:sz w:val="28"/>
          <w:szCs w:val="28"/>
        </w:rPr>
        <w:lastRenderedPageBreak/>
        <w:t>C</w:t>
      </w:r>
      <w:r w:rsidR="00333FAA" w:rsidRPr="00AF6BF1">
        <w:rPr>
          <w:rFonts w:ascii="Arial" w:hAnsi="Arial"/>
          <w:color w:val="000000" w:themeColor="text1"/>
          <w:sz w:val="28"/>
          <w:szCs w:val="28"/>
        </w:rPr>
        <w:t>urrent situation</w:t>
      </w:r>
    </w:p>
    <w:p w14:paraId="73E9B4F1" w14:textId="3182AE7C" w:rsidR="00AF6BF1" w:rsidRDefault="00AF6BF1" w:rsidP="00AF6BF1"/>
    <w:p w14:paraId="7D6C8F3A" w14:textId="6844CE02" w:rsidR="00B061DD" w:rsidRDefault="00B061DD" w:rsidP="00AF6BF1">
      <w:r>
        <w:t xml:space="preserve">Given the need for a start on site prior to the end of March </w:t>
      </w:r>
      <w:r w:rsidR="00676D40">
        <w:t xml:space="preserve">2022 </w:t>
      </w:r>
      <w:r>
        <w:t xml:space="preserve">it is important to continue </w:t>
      </w:r>
      <w:r w:rsidR="008C2D69">
        <w:t>moving forward</w:t>
      </w:r>
      <w:r>
        <w:t xml:space="preserve"> at this point</w:t>
      </w:r>
      <w:r w:rsidR="00CF6BA1">
        <w:t>.</w:t>
      </w:r>
    </w:p>
    <w:p w14:paraId="402566EA" w14:textId="75E9F925" w:rsidR="00CF6BA1" w:rsidRDefault="00CF6BA1" w:rsidP="00AF6BF1"/>
    <w:p w14:paraId="2C07EDFD" w14:textId="32A584A9" w:rsidR="00CF6BA1" w:rsidRDefault="00CF6BA1" w:rsidP="00AF6BF1">
      <w:r>
        <w:t>Th</w:t>
      </w:r>
      <w:r w:rsidR="001C046D">
        <w:t>e</w:t>
      </w:r>
      <w:r>
        <w:t xml:space="preserve"> immediate tasks are </w:t>
      </w:r>
      <w:r w:rsidR="008C2D69">
        <w:t xml:space="preserve">to continue the </w:t>
      </w:r>
      <w:r>
        <w:t xml:space="preserve">design to RIBA Stage 4 and </w:t>
      </w:r>
      <w:r w:rsidR="001C046D">
        <w:t>p</w:t>
      </w:r>
      <w:r>
        <w:t>reparation</w:t>
      </w:r>
      <w:r w:rsidR="001C046D">
        <w:t xml:space="preserve"> for demolition, and the procurement of a demolition contract. </w:t>
      </w:r>
      <w:r w:rsidR="008C2D69">
        <w:t xml:space="preserve">Market testing of demolition and </w:t>
      </w:r>
      <w:r w:rsidR="00A31982">
        <w:t>construction contracts</w:t>
      </w:r>
      <w:r w:rsidR="00785E59">
        <w:t xml:space="preserve"> to develop the housing is also required.</w:t>
      </w:r>
    </w:p>
    <w:p w14:paraId="129B0889" w14:textId="60A32EB5" w:rsidR="00804372" w:rsidRDefault="00804372" w:rsidP="00AF6BF1">
      <w:pPr>
        <w:rPr>
          <w:b/>
          <w:bCs/>
        </w:rPr>
      </w:pPr>
    </w:p>
    <w:p w14:paraId="6F43C5C5" w14:textId="7152E2EF" w:rsidR="00804372" w:rsidRPr="00742E9C" w:rsidRDefault="00445D2D" w:rsidP="00AF6BF1">
      <w:pPr>
        <w:rPr>
          <w:b/>
          <w:bCs/>
        </w:rPr>
      </w:pPr>
      <w:r w:rsidRPr="00742E9C">
        <w:rPr>
          <w:b/>
          <w:bCs/>
        </w:rPr>
        <w:t xml:space="preserve">The current proposal </w:t>
      </w:r>
    </w:p>
    <w:p w14:paraId="3182FB30" w14:textId="444EE087" w:rsidR="00D61CB1" w:rsidRPr="00742E9C" w:rsidRDefault="00D61CB1" w:rsidP="00AF6BF1">
      <w:pPr>
        <w:rPr>
          <w:b/>
          <w:bCs/>
        </w:rPr>
      </w:pPr>
    </w:p>
    <w:p w14:paraId="21088717" w14:textId="245187F9" w:rsidR="00273074" w:rsidRPr="00742E9C" w:rsidRDefault="0035430B" w:rsidP="00AF6BF1">
      <w:r w:rsidRPr="00742E9C">
        <w:t xml:space="preserve">Following </w:t>
      </w:r>
      <w:r w:rsidR="007F1D57" w:rsidRPr="00742E9C">
        <w:t xml:space="preserve">a comprehensive informal consultation process and design amendments to take account of feedback received, a </w:t>
      </w:r>
      <w:r w:rsidR="005132A2" w:rsidRPr="00742E9C">
        <w:t>planning application has been submitted for a 100% affordable housing scheme</w:t>
      </w:r>
      <w:r w:rsidR="00F32F4D" w:rsidRPr="00742E9C">
        <w:t xml:space="preserve"> of 39 homes</w:t>
      </w:r>
      <w:r w:rsidR="008D3F1F" w:rsidRPr="00742E9C">
        <w:t xml:space="preserve">. </w:t>
      </w:r>
      <w:r w:rsidR="00F32F4D" w:rsidRPr="00742E9C">
        <w:t>12 homes comprising 10 family houses and 2</w:t>
      </w:r>
      <w:r w:rsidR="00722915" w:rsidRPr="00742E9C">
        <w:t xml:space="preserve"> flats suitable for wheelchair users are for affordable rent, and 27 </w:t>
      </w:r>
      <w:r w:rsidR="003A51EB" w:rsidRPr="00742E9C">
        <w:t>flats in a mix of 1 and 2 be</w:t>
      </w:r>
      <w:r w:rsidR="00E00C7F" w:rsidRPr="00742E9C">
        <w:t>d</w:t>
      </w:r>
      <w:r w:rsidR="003A51EB" w:rsidRPr="00742E9C">
        <w:t>room</w:t>
      </w:r>
      <w:r w:rsidR="00E00C7F" w:rsidRPr="00742E9C">
        <w:t>s are for shared ownership. T</w:t>
      </w:r>
      <w:r w:rsidR="000D4A1B" w:rsidRPr="00742E9C">
        <w:t xml:space="preserve">he proposal will therefore benefit households in </w:t>
      </w:r>
      <w:r w:rsidR="00851241" w:rsidRPr="00742E9C">
        <w:t xml:space="preserve">priority housing need </w:t>
      </w:r>
      <w:r w:rsidR="000A54A6">
        <w:t>for</w:t>
      </w:r>
      <w:r w:rsidR="00851241" w:rsidRPr="00742E9C">
        <w:t xml:space="preserve"> council housing and those who are </w:t>
      </w:r>
      <w:r w:rsidR="0036531D" w:rsidRPr="00742E9C">
        <w:t xml:space="preserve">unable to afford to buy on the open market but want to remain living locally. </w:t>
      </w:r>
      <w:r w:rsidR="00AE4F25" w:rsidRPr="00742E9C">
        <w:t xml:space="preserve">The scheme also includes </w:t>
      </w:r>
      <w:r w:rsidR="004518D2" w:rsidRPr="00742E9C">
        <w:t xml:space="preserve">a </w:t>
      </w:r>
      <w:r w:rsidR="002C5758">
        <w:t xml:space="preserve">non-residential community use </w:t>
      </w:r>
      <w:r w:rsidR="004518D2" w:rsidRPr="00742E9C">
        <w:t xml:space="preserve">unit on the ground floor of the flatted block </w:t>
      </w:r>
      <w:r w:rsidR="004867F4" w:rsidRPr="00742E9C">
        <w:t>accessed from the High Street.</w:t>
      </w:r>
      <w:r w:rsidRPr="00742E9C">
        <w:t xml:space="preserve"> </w:t>
      </w:r>
      <w:r w:rsidR="008D3F1F" w:rsidRPr="00742E9C">
        <w:t xml:space="preserve">It has a </w:t>
      </w:r>
      <w:proofErr w:type="gramStart"/>
      <w:r w:rsidR="008D3F1F" w:rsidRPr="00742E9C">
        <w:t>high quality</w:t>
      </w:r>
      <w:proofErr w:type="gramEnd"/>
      <w:r w:rsidR="008D3F1F" w:rsidRPr="00742E9C">
        <w:t xml:space="preserve"> design </w:t>
      </w:r>
      <w:r w:rsidR="00A5735C" w:rsidRPr="00742E9C">
        <w:t>to match the aspirations for the Poets Corner site which sits opposite the Milton Road site</w:t>
      </w:r>
      <w:r w:rsidR="00402B2F" w:rsidRPr="00742E9C">
        <w:t>.</w:t>
      </w:r>
    </w:p>
    <w:p w14:paraId="4A97746F" w14:textId="2F5AA8C8" w:rsidR="004867F4" w:rsidRPr="00742E9C" w:rsidRDefault="004867F4" w:rsidP="00AF6BF1"/>
    <w:p w14:paraId="4409CE0F" w14:textId="5193B3BC" w:rsidR="004867F4" w:rsidRPr="00742E9C" w:rsidRDefault="004867F4" w:rsidP="00AF6BF1">
      <w:r w:rsidRPr="00742E9C">
        <w:t>The scheme has been costed and independently reviewed</w:t>
      </w:r>
      <w:r w:rsidR="00402B2F" w:rsidRPr="00742E9C">
        <w:t xml:space="preserve"> and is financially viable</w:t>
      </w:r>
      <w:r w:rsidR="003508B9" w:rsidRPr="00742E9C">
        <w:t xml:space="preserve"> based on the current estimates. </w:t>
      </w:r>
    </w:p>
    <w:p w14:paraId="3B055BC0" w14:textId="579D9B1B" w:rsidR="002B7133" w:rsidRDefault="002B7133" w:rsidP="00AF6BF1">
      <w:pPr>
        <w:rPr>
          <w:b/>
          <w:bCs/>
        </w:rPr>
      </w:pPr>
    </w:p>
    <w:p w14:paraId="54544A27" w14:textId="0E844BB0" w:rsidR="002B7133" w:rsidRDefault="00E057C1" w:rsidP="00AF6BF1">
      <w:pPr>
        <w:rPr>
          <w:b/>
          <w:bCs/>
        </w:rPr>
      </w:pPr>
      <w:r>
        <w:rPr>
          <w:b/>
          <w:bCs/>
        </w:rPr>
        <w:t>Wates proposal</w:t>
      </w:r>
    </w:p>
    <w:p w14:paraId="6FA9A84E" w14:textId="77777777" w:rsidR="000A54A6" w:rsidRDefault="000A54A6" w:rsidP="00AF6BF1"/>
    <w:p w14:paraId="04584F32" w14:textId="0E9697A4" w:rsidR="00E057C1" w:rsidRDefault="00E10974" w:rsidP="00AF6BF1">
      <w:r>
        <w:t xml:space="preserve">Wates have </w:t>
      </w:r>
      <w:r w:rsidR="00CF7052">
        <w:t>al</w:t>
      </w:r>
      <w:r>
        <w:t xml:space="preserve">ready </w:t>
      </w:r>
      <w:r w:rsidR="00D13321">
        <w:t xml:space="preserve">been </w:t>
      </w:r>
      <w:r>
        <w:t xml:space="preserve">procured by the Council </w:t>
      </w:r>
      <w:r w:rsidR="00885F34">
        <w:t xml:space="preserve">to take the scheme to planning permission under the PCSA referred to above, consequently, they </w:t>
      </w:r>
      <w:r w:rsidR="00D86411">
        <w:t>have been involved in the development and design of the scheme to this point</w:t>
      </w:r>
      <w:r w:rsidR="00B33F7A">
        <w:t>.</w:t>
      </w:r>
      <w:r w:rsidR="005A118D">
        <w:t xml:space="preserve"> </w:t>
      </w:r>
      <w:r w:rsidR="00A01062">
        <w:t>As noted above t</w:t>
      </w:r>
      <w:r w:rsidR="005A118D">
        <w:t>hey have produce</w:t>
      </w:r>
      <w:r w:rsidR="00A01062">
        <w:t>d</w:t>
      </w:r>
      <w:r w:rsidR="007730A9">
        <w:t xml:space="preserve"> costings and proposals to deliver the scheme. It remains the case that </w:t>
      </w:r>
      <w:r w:rsidR="00DF2993">
        <w:t>th</w:t>
      </w:r>
      <w:r w:rsidR="00487206">
        <w:t xml:space="preserve">is is an important site adjacent to the ‘core site’ at Poets Corner and there is considerable </w:t>
      </w:r>
      <w:r w:rsidR="00B33F7A">
        <w:t>logic to the HSDP partner developing this site.</w:t>
      </w:r>
    </w:p>
    <w:p w14:paraId="2EC46F83" w14:textId="40F6BFAB" w:rsidR="00B33F7A" w:rsidRDefault="00B33F7A" w:rsidP="00AF6BF1"/>
    <w:p w14:paraId="50556D83" w14:textId="59117D65" w:rsidR="00A31962" w:rsidRDefault="00E63DAE" w:rsidP="00AF6BF1">
      <w:r>
        <w:t xml:space="preserve">Wates has provided an early estimated </w:t>
      </w:r>
      <w:r w:rsidR="00760768">
        <w:t>total scheme cost of £14.9m</w:t>
      </w:r>
      <w:r w:rsidR="004A209E">
        <w:t xml:space="preserve"> with a </w:t>
      </w:r>
      <w:r>
        <w:t>build cost of £13m for the proposed schem</w:t>
      </w:r>
      <w:r w:rsidR="00E50B3C">
        <w:t xml:space="preserve">e. The final contract sum is subject to further market testing and </w:t>
      </w:r>
      <w:r w:rsidR="00007670">
        <w:t xml:space="preserve">once agreed, </w:t>
      </w:r>
      <w:r w:rsidR="00885F34">
        <w:t>t</w:t>
      </w:r>
      <w:r w:rsidR="004C3FBF">
        <w:t>he rates for Development Management, construction overheads and profit</w:t>
      </w:r>
      <w:r w:rsidR="004F48E2">
        <w:t xml:space="preserve"> are those tendered in the bid to be the Council’s partner in the HSDP. This will then be done on identical terms and condit</w:t>
      </w:r>
      <w:r w:rsidR="00B10B9B">
        <w:t>i</w:t>
      </w:r>
      <w:r w:rsidR="004F48E2">
        <w:t>ons</w:t>
      </w:r>
      <w:r w:rsidR="00B10B9B">
        <w:t>.</w:t>
      </w:r>
    </w:p>
    <w:p w14:paraId="553AB5BF" w14:textId="77777777" w:rsidR="00885F34" w:rsidRDefault="00885F34" w:rsidP="00A31962">
      <w:pPr>
        <w:rPr>
          <w:b/>
          <w:bCs/>
        </w:rPr>
      </w:pPr>
    </w:p>
    <w:p w14:paraId="78077CCD" w14:textId="5444248A" w:rsidR="00A31962" w:rsidRDefault="00A31962" w:rsidP="00A31962">
      <w:r>
        <w:rPr>
          <w:b/>
          <w:bCs/>
        </w:rPr>
        <w:t xml:space="preserve">The HSDP </w:t>
      </w:r>
    </w:p>
    <w:p w14:paraId="524BCBCB" w14:textId="77777777" w:rsidR="00A31962" w:rsidRDefault="00A31962" w:rsidP="00A31962">
      <w:pPr>
        <w:rPr>
          <w:b/>
          <w:bCs/>
          <w:szCs w:val="24"/>
          <w:highlight w:val="yellow"/>
        </w:rPr>
      </w:pPr>
    </w:p>
    <w:p w14:paraId="40D60662" w14:textId="5DA0F7C4" w:rsidR="00A31962" w:rsidRPr="00742E9C" w:rsidRDefault="00A34CD9" w:rsidP="00742E9C">
      <w:r>
        <w:t>As discussed elsewhere on your agenda</w:t>
      </w:r>
      <w:r w:rsidR="00086044">
        <w:t xml:space="preserve">, </w:t>
      </w:r>
      <w:r w:rsidR="00A31962">
        <w:t xml:space="preserve">Members will recall that at its meeting </w:t>
      </w:r>
      <w:r w:rsidR="00A31962" w:rsidRPr="00742E9C">
        <w:t xml:space="preserve">of 30th May 2019 Cabinet resolved that a Strategic Development Partnership, established with a private sector partner was the preferred delivery approach for the development of Poets Corner, Peel Road and Byron Quarter Phase 1 (the Core Sites) in the Regeneration Programme. Cabinet </w:t>
      </w:r>
      <w:r w:rsidR="00A31962" w:rsidRPr="00742E9C">
        <w:lastRenderedPageBreak/>
        <w:t xml:space="preserve">approved the commencement of a procurement process under the Public Contracts Regulations 2015 and agreed a proposition to be put to the market as part of the procurement process. </w:t>
      </w:r>
    </w:p>
    <w:p w14:paraId="034DF7DE" w14:textId="612AB512" w:rsidR="00A21A45" w:rsidRDefault="00A21A45" w:rsidP="00A31962">
      <w:pPr>
        <w:ind w:left="426" w:hanging="426"/>
        <w:rPr>
          <w:rFonts w:eastAsia="Arial" w:cs="Arial"/>
        </w:rPr>
      </w:pPr>
    </w:p>
    <w:p w14:paraId="63EDEF44" w14:textId="54F39044" w:rsidR="00A31962" w:rsidRPr="00742E9C" w:rsidRDefault="00A21A45" w:rsidP="00742E9C">
      <w:r w:rsidRPr="00742E9C">
        <w:t>Following that procurement process</w:t>
      </w:r>
      <w:r w:rsidR="0087712A" w:rsidRPr="00742E9C">
        <w:t xml:space="preserve"> Wates Construction Ltd were appointed as preferred bidder and </w:t>
      </w:r>
      <w:proofErr w:type="gramStart"/>
      <w:r w:rsidR="0087712A" w:rsidRPr="00742E9C">
        <w:t>subsequent to</w:t>
      </w:r>
      <w:proofErr w:type="gramEnd"/>
      <w:r w:rsidR="0087712A" w:rsidRPr="00742E9C">
        <w:t xml:space="preserve"> </w:t>
      </w:r>
      <w:r w:rsidR="001C54CE" w:rsidRPr="00742E9C">
        <w:t>contractual finalisation the HSDP was established on 9th August 2021.</w:t>
      </w:r>
    </w:p>
    <w:p w14:paraId="3A00E749" w14:textId="77777777" w:rsidR="00A31962" w:rsidRDefault="00A31962" w:rsidP="00A31962">
      <w:pPr>
        <w:pStyle w:val="Heading2"/>
        <w:rPr>
          <w:rFonts w:ascii="Arial" w:hAnsi="Arial"/>
          <w:b w:val="0"/>
          <w:bCs w:val="0"/>
          <w:sz w:val="24"/>
          <w:szCs w:val="24"/>
        </w:rPr>
      </w:pPr>
      <w:r>
        <w:rPr>
          <w:rFonts w:eastAsia="Arial"/>
          <w:szCs w:val="24"/>
        </w:rPr>
        <w:t xml:space="preserve"> </w:t>
      </w:r>
    </w:p>
    <w:p w14:paraId="4FB59E5B" w14:textId="02EF161B" w:rsidR="00A31962" w:rsidRDefault="00A31962" w:rsidP="009E2634">
      <w:pPr>
        <w:pStyle w:val="Heading2"/>
        <w:rPr>
          <w:rFonts w:ascii="Arial" w:hAnsi="Arial"/>
          <w:b w:val="0"/>
          <w:sz w:val="24"/>
          <w:szCs w:val="24"/>
        </w:rPr>
      </w:pPr>
      <w:r>
        <w:rPr>
          <w:rFonts w:ascii="Arial" w:hAnsi="Arial"/>
          <w:sz w:val="24"/>
          <w:szCs w:val="24"/>
        </w:rPr>
        <w:t>The core sites and the addition of</w:t>
      </w:r>
      <w:r w:rsidR="00DE1EF2">
        <w:rPr>
          <w:rFonts w:ascii="Arial" w:hAnsi="Arial"/>
          <w:sz w:val="24"/>
          <w:szCs w:val="24"/>
        </w:rPr>
        <w:t xml:space="preserve"> Milton Road</w:t>
      </w:r>
    </w:p>
    <w:p w14:paraId="0588E3CD" w14:textId="77777777" w:rsidR="00A31962" w:rsidRDefault="00A31962" w:rsidP="00A31962">
      <w:pPr>
        <w:rPr>
          <w:szCs w:val="24"/>
        </w:rPr>
      </w:pPr>
    </w:p>
    <w:p w14:paraId="6F97E1AC" w14:textId="65AB92DA" w:rsidR="00A31962" w:rsidRDefault="00293479" w:rsidP="00A31962">
      <w:pPr>
        <w:rPr>
          <w:szCs w:val="24"/>
        </w:rPr>
      </w:pPr>
      <w:r>
        <w:rPr>
          <w:szCs w:val="24"/>
        </w:rPr>
        <w:t xml:space="preserve">It is set out in the report </w:t>
      </w:r>
      <w:r w:rsidR="001E6B15">
        <w:rPr>
          <w:szCs w:val="24"/>
        </w:rPr>
        <w:t xml:space="preserve">to Cabinet in May 21 </w:t>
      </w:r>
      <w:r>
        <w:rPr>
          <w:szCs w:val="24"/>
        </w:rPr>
        <w:t xml:space="preserve">that </w:t>
      </w:r>
      <w:r w:rsidR="00A24025">
        <w:rPr>
          <w:szCs w:val="24"/>
        </w:rPr>
        <w:t>t</w:t>
      </w:r>
      <w:r w:rsidR="00A31962">
        <w:rPr>
          <w:szCs w:val="24"/>
        </w:rPr>
        <w:t>he HSDP has three core sites at Peel Road, Byron Quarter and Poets Corner. Peel Road is the proposed site of the new Harrow Civic Centre, together with private rented housing and a block of 46 affordable units that it is intended, subject to final due diligence will be owned by the Council. Poets Corner is intended to be the site of approximately 1,000 homes; a mixture of market and affordable. Byron Quarter phase 1 which is likely to be the first site delivered by the HSDP has a similar mix of around 350 market and affordable homes. All three core sites were considered in the HSDP’s initial overall Business Plan and are now subject to detailed design and the drafting of detailed phase Business Plans. It was always contemplated in the procurement process that further sites could be added to the partnership.</w:t>
      </w:r>
    </w:p>
    <w:p w14:paraId="30B97826" w14:textId="77777777" w:rsidR="00A31962" w:rsidRDefault="00A31962" w:rsidP="00A31962">
      <w:pPr>
        <w:rPr>
          <w:color w:val="548DD4" w:themeColor="text2" w:themeTint="99"/>
          <w:szCs w:val="24"/>
          <w:highlight w:val="yellow"/>
        </w:rPr>
      </w:pPr>
    </w:p>
    <w:p w14:paraId="3B4F5FCF" w14:textId="7E2EBF42" w:rsidR="009F68C6" w:rsidRDefault="00DE1EF2" w:rsidP="00A31962">
      <w:pPr>
        <w:rPr>
          <w:szCs w:val="24"/>
        </w:rPr>
      </w:pPr>
      <w:r>
        <w:rPr>
          <w:szCs w:val="24"/>
        </w:rPr>
        <w:t>If members</w:t>
      </w:r>
      <w:r w:rsidR="00BD3A55">
        <w:rPr>
          <w:szCs w:val="24"/>
        </w:rPr>
        <w:t xml:space="preserve"> agree the </w:t>
      </w:r>
      <w:r w:rsidR="00A31962">
        <w:rPr>
          <w:szCs w:val="24"/>
        </w:rPr>
        <w:t xml:space="preserve">addition of Grange Farm Phases two and three to this partnership </w:t>
      </w:r>
      <w:r w:rsidR="0039790F">
        <w:rPr>
          <w:szCs w:val="24"/>
        </w:rPr>
        <w:t xml:space="preserve">set out in </w:t>
      </w:r>
      <w:r w:rsidR="003C5F12">
        <w:rPr>
          <w:szCs w:val="24"/>
        </w:rPr>
        <w:t xml:space="preserve">another report to this Cabinet meeting, </w:t>
      </w:r>
      <w:r>
        <w:rPr>
          <w:szCs w:val="24"/>
        </w:rPr>
        <w:t xml:space="preserve">this </w:t>
      </w:r>
      <w:r w:rsidR="00A31962">
        <w:rPr>
          <w:szCs w:val="24"/>
        </w:rPr>
        <w:t xml:space="preserve">will effectively add a fourth core site. </w:t>
      </w:r>
      <w:r w:rsidR="009F68C6">
        <w:rPr>
          <w:szCs w:val="24"/>
        </w:rPr>
        <w:t>The addition of Milton Road should rather be viewed as a minor extension to the Poets Corner site</w:t>
      </w:r>
    </w:p>
    <w:p w14:paraId="09A3BEC4" w14:textId="77777777" w:rsidR="009F68C6" w:rsidRDefault="009F68C6" w:rsidP="00A31962">
      <w:pPr>
        <w:rPr>
          <w:szCs w:val="24"/>
        </w:rPr>
      </w:pPr>
    </w:p>
    <w:p w14:paraId="56431C99" w14:textId="5F1AC07C" w:rsidR="00A31962" w:rsidRDefault="00A31962" w:rsidP="00A31962">
      <w:pPr>
        <w:rPr>
          <w:szCs w:val="24"/>
        </w:rPr>
      </w:pPr>
      <w:r>
        <w:rPr>
          <w:szCs w:val="24"/>
        </w:rPr>
        <w:t xml:space="preserve">The process set out in Schedule 6 of the Member’s </w:t>
      </w:r>
      <w:r w:rsidR="005367F5">
        <w:rPr>
          <w:szCs w:val="24"/>
        </w:rPr>
        <w:t>A</w:t>
      </w:r>
      <w:r>
        <w:rPr>
          <w:szCs w:val="24"/>
        </w:rPr>
        <w:t>greement for the addition of future opportunities requires that:</w:t>
      </w:r>
    </w:p>
    <w:p w14:paraId="67AD0EC5" w14:textId="77777777" w:rsidR="00A31962" w:rsidRDefault="00A31962" w:rsidP="00A31962">
      <w:pPr>
        <w:rPr>
          <w:color w:val="548DD4" w:themeColor="text2" w:themeTint="99"/>
          <w:szCs w:val="24"/>
          <w:highlight w:val="yellow"/>
        </w:rPr>
      </w:pPr>
    </w:p>
    <w:p w14:paraId="751C78B3" w14:textId="77777777" w:rsidR="00A31962" w:rsidRDefault="00A31962" w:rsidP="00A31962">
      <w:pPr>
        <w:pStyle w:val="ListParagraph"/>
        <w:numPr>
          <w:ilvl w:val="0"/>
          <w:numId w:val="48"/>
        </w:numPr>
        <w:rPr>
          <w:rFonts w:eastAsia="Arial" w:cs="Arial"/>
          <w:szCs w:val="24"/>
        </w:rPr>
      </w:pPr>
      <w:r>
        <w:rPr>
          <w:szCs w:val="24"/>
        </w:rPr>
        <w:t>The HSDP brings forward a development proposal:</w:t>
      </w:r>
    </w:p>
    <w:p w14:paraId="11504F4C" w14:textId="77777777" w:rsidR="00A31962" w:rsidRDefault="00A31962" w:rsidP="00A31962">
      <w:pPr>
        <w:rPr>
          <w:i/>
          <w:iCs/>
          <w:color w:val="548DD4" w:themeColor="text2" w:themeTint="99"/>
          <w:szCs w:val="24"/>
          <w:highlight w:val="yellow"/>
        </w:rPr>
      </w:pPr>
    </w:p>
    <w:p w14:paraId="50FED89F" w14:textId="77777777" w:rsidR="00A31962" w:rsidRDefault="00A31962" w:rsidP="00A31962">
      <w:pPr>
        <w:pStyle w:val="ListParagraph"/>
        <w:numPr>
          <w:ilvl w:val="0"/>
          <w:numId w:val="48"/>
        </w:numPr>
        <w:rPr>
          <w:rFonts w:eastAsia="Arial" w:cs="Arial"/>
          <w:szCs w:val="24"/>
        </w:rPr>
      </w:pPr>
      <w:r>
        <w:rPr>
          <w:szCs w:val="24"/>
        </w:rPr>
        <w:t>The Council accepts the proposal and asks the HSDP to progress the proposal in further detail I.e. produce a business plan. This triggers an exclusivity period during which the site cannot be otherwise disposed of.</w:t>
      </w:r>
    </w:p>
    <w:p w14:paraId="10FF255F" w14:textId="77777777" w:rsidR="00A31962" w:rsidRDefault="00A31962" w:rsidP="00A31962">
      <w:pPr>
        <w:rPr>
          <w:i/>
          <w:iCs/>
          <w:color w:val="548DD4" w:themeColor="text2" w:themeTint="99"/>
          <w:szCs w:val="24"/>
        </w:rPr>
      </w:pPr>
    </w:p>
    <w:p w14:paraId="640E425B" w14:textId="4CE7DE0A" w:rsidR="00A31962" w:rsidRPr="00230331" w:rsidRDefault="00A31962" w:rsidP="00141775">
      <w:pPr>
        <w:pStyle w:val="ListParagraph"/>
        <w:numPr>
          <w:ilvl w:val="0"/>
          <w:numId w:val="48"/>
        </w:numPr>
        <w:rPr>
          <w:b/>
          <w:bCs/>
          <w:szCs w:val="24"/>
        </w:rPr>
      </w:pPr>
      <w:r>
        <w:rPr>
          <w:szCs w:val="24"/>
        </w:rPr>
        <w:t>The HSDP will prepare a full detailed phase Business Plan which will then be brought back to Cabinet for final approval</w:t>
      </w:r>
      <w:r w:rsidR="005367F5">
        <w:rPr>
          <w:szCs w:val="24"/>
        </w:rPr>
        <w:t xml:space="preserve"> of the necessary</w:t>
      </w:r>
      <w:r>
        <w:rPr>
          <w:szCs w:val="24"/>
        </w:rPr>
        <w:t xml:space="preserve"> </w:t>
      </w:r>
      <w:r w:rsidR="00AC337E">
        <w:rPr>
          <w:szCs w:val="24"/>
        </w:rPr>
        <w:t>l</w:t>
      </w:r>
      <w:r>
        <w:rPr>
          <w:szCs w:val="24"/>
        </w:rPr>
        <w:t xml:space="preserve">egal documentation </w:t>
      </w:r>
    </w:p>
    <w:p w14:paraId="2EFB02CC" w14:textId="77777777" w:rsidR="00230331" w:rsidRPr="00230331" w:rsidRDefault="00230331" w:rsidP="00230331">
      <w:pPr>
        <w:ind w:left="360"/>
        <w:rPr>
          <w:b/>
          <w:bCs/>
          <w:szCs w:val="24"/>
        </w:rPr>
      </w:pPr>
    </w:p>
    <w:p w14:paraId="55F573DA" w14:textId="03BA9E52" w:rsidR="00141775" w:rsidRDefault="00141775" w:rsidP="00141775">
      <w:pPr>
        <w:rPr>
          <w:szCs w:val="24"/>
        </w:rPr>
      </w:pPr>
      <w:r w:rsidRPr="00141775">
        <w:rPr>
          <w:szCs w:val="24"/>
        </w:rPr>
        <w:t>In this instance the level of design and preparation work</w:t>
      </w:r>
      <w:r w:rsidR="00230331">
        <w:rPr>
          <w:szCs w:val="24"/>
        </w:rPr>
        <w:t xml:space="preserve"> carried out</w:t>
      </w:r>
      <w:r w:rsidR="00EB63E3">
        <w:rPr>
          <w:szCs w:val="24"/>
        </w:rPr>
        <w:t xml:space="preserve"> by Wates in advance of the conclusion of the HSDP process</w:t>
      </w:r>
      <w:r w:rsidRPr="00141775">
        <w:rPr>
          <w:szCs w:val="24"/>
        </w:rPr>
        <w:t>, together with the financial proposals</w:t>
      </w:r>
      <w:r w:rsidR="00230331">
        <w:rPr>
          <w:szCs w:val="24"/>
        </w:rPr>
        <w:t xml:space="preserve"> exceeds that of  a business plan and it is proposed that in this instance Cabinet waives </w:t>
      </w:r>
      <w:r w:rsidR="0021196B">
        <w:rPr>
          <w:szCs w:val="24"/>
        </w:rPr>
        <w:t xml:space="preserve">the </w:t>
      </w:r>
      <w:r w:rsidR="001B0A58">
        <w:rPr>
          <w:szCs w:val="24"/>
        </w:rPr>
        <w:t xml:space="preserve">process and asks the Board of the HSDP to do the same and </w:t>
      </w:r>
      <w:r w:rsidR="004E2A18">
        <w:rPr>
          <w:szCs w:val="24"/>
        </w:rPr>
        <w:t xml:space="preserve">accept the </w:t>
      </w:r>
      <w:r w:rsidR="004A7384">
        <w:rPr>
          <w:szCs w:val="24"/>
        </w:rPr>
        <w:t xml:space="preserve">commission of the works </w:t>
      </w:r>
      <w:r w:rsidR="00C85683">
        <w:rPr>
          <w:szCs w:val="24"/>
        </w:rPr>
        <w:t xml:space="preserve">at </w:t>
      </w:r>
      <w:r w:rsidR="00501782">
        <w:rPr>
          <w:szCs w:val="24"/>
        </w:rPr>
        <w:t xml:space="preserve">Milton Road site </w:t>
      </w:r>
      <w:r w:rsidR="00C85683">
        <w:rPr>
          <w:szCs w:val="24"/>
        </w:rPr>
        <w:t>by</w:t>
      </w:r>
      <w:r w:rsidR="00501782">
        <w:rPr>
          <w:szCs w:val="24"/>
        </w:rPr>
        <w:t xml:space="preserve"> the HSDP.</w:t>
      </w:r>
      <w:r w:rsidR="001B0A58">
        <w:rPr>
          <w:szCs w:val="24"/>
        </w:rPr>
        <w:t xml:space="preserve"> </w:t>
      </w:r>
    </w:p>
    <w:p w14:paraId="5CF26351" w14:textId="59D8F311" w:rsidR="00BD3B51" w:rsidRDefault="00BD3B51" w:rsidP="00141775">
      <w:pPr>
        <w:rPr>
          <w:szCs w:val="24"/>
        </w:rPr>
      </w:pPr>
    </w:p>
    <w:p w14:paraId="548705A6" w14:textId="7604D1E3" w:rsidR="00A31962" w:rsidRDefault="004D7E85" w:rsidP="00A31962">
      <w:pPr>
        <w:rPr>
          <w:b/>
          <w:bCs/>
          <w:szCs w:val="24"/>
        </w:rPr>
      </w:pPr>
      <w:r w:rsidRPr="004D7E85">
        <w:rPr>
          <w:b/>
          <w:bCs/>
          <w:szCs w:val="24"/>
        </w:rPr>
        <w:t>Legal Documentation</w:t>
      </w:r>
    </w:p>
    <w:p w14:paraId="31F4F68A" w14:textId="6B2637D3" w:rsidR="004D7E85" w:rsidRDefault="004D7E85" w:rsidP="00A31962">
      <w:pPr>
        <w:rPr>
          <w:b/>
          <w:bCs/>
          <w:szCs w:val="24"/>
        </w:rPr>
      </w:pPr>
    </w:p>
    <w:p w14:paraId="5AF0830D" w14:textId="3B75C37E" w:rsidR="00A31962" w:rsidRDefault="005D3ACB" w:rsidP="00A31962">
      <w:pPr>
        <w:rPr>
          <w:szCs w:val="24"/>
        </w:rPr>
      </w:pPr>
      <w:r>
        <w:rPr>
          <w:szCs w:val="24"/>
        </w:rPr>
        <w:lastRenderedPageBreak/>
        <w:t xml:space="preserve">As with the new </w:t>
      </w:r>
      <w:r w:rsidR="00263370">
        <w:rPr>
          <w:szCs w:val="24"/>
        </w:rPr>
        <w:t>Harrow Civic (</w:t>
      </w:r>
      <w:r>
        <w:rPr>
          <w:szCs w:val="24"/>
        </w:rPr>
        <w:t>HNC</w:t>
      </w:r>
      <w:r w:rsidR="00263370">
        <w:rPr>
          <w:szCs w:val="24"/>
        </w:rPr>
        <w:t>)</w:t>
      </w:r>
      <w:r>
        <w:rPr>
          <w:szCs w:val="24"/>
        </w:rPr>
        <w:t xml:space="preserve"> and the proposed affordable housing at Pe</w:t>
      </w:r>
      <w:r w:rsidR="00A31962">
        <w:rPr>
          <w:szCs w:val="24"/>
        </w:rPr>
        <w:t>el Road the</w:t>
      </w:r>
      <w:r>
        <w:rPr>
          <w:szCs w:val="24"/>
        </w:rPr>
        <w:t xml:space="preserve"> Milton Road site would be developed under a Community Works Agreement</w:t>
      </w:r>
      <w:r w:rsidR="00D0385F">
        <w:rPr>
          <w:szCs w:val="24"/>
        </w:rPr>
        <w:t>.</w:t>
      </w:r>
      <w:r w:rsidR="00A31962">
        <w:rPr>
          <w:szCs w:val="24"/>
        </w:rPr>
        <w:t xml:space="preserve"> This is </w:t>
      </w:r>
      <w:bookmarkStart w:id="0" w:name="_GoBack"/>
      <w:bookmarkEnd w:id="0"/>
      <w:r w:rsidR="00A31962">
        <w:rPr>
          <w:szCs w:val="24"/>
        </w:rPr>
        <w:t xml:space="preserve">an agreed form </w:t>
      </w:r>
      <w:r w:rsidR="00474A9C">
        <w:rPr>
          <w:szCs w:val="24"/>
        </w:rPr>
        <w:t xml:space="preserve">of </w:t>
      </w:r>
      <w:r w:rsidR="00A31962">
        <w:rPr>
          <w:szCs w:val="24"/>
        </w:rPr>
        <w:t xml:space="preserve">document </w:t>
      </w:r>
      <w:r w:rsidR="00D0385F">
        <w:rPr>
          <w:szCs w:val="24"/>
        </w:rPr>
        <w:t xml:space="preserve">for which provision is made in the </w:t>
      </w:r>
      <w:r w:rsidR="00D63F14">
        <w:rPr>
          <w:szCs w:val="24"/>
        </w:rPr>
        <w:t>Members Agreement of the HSDP.</w:t>
      </w:r>
      <w:r w:rsidR="00A31962">
        <w:rPr>
          <w:szCs w:val="24"/>
        </w:rPr>
        <w:t xml:space="preserve"> The Community Works </w:t>
      </w:r>
      <w:r w:rsidR="0004523C">
        <w:rPr>
          <w:szCs w:val="24"/>
        </w:rPr>
        <w:t>A</w:t>
      </w:r>
      <w:r w:rsidR="00A31962">
        <w:rPr>
          <w:szCs w:val="24"/>
        </w:rPr>
        <w:t xml:space="preserve">greement is the ‘Development Agreement” for works commissioned and directly paid for by the Council. A Community Works </w:t>
      </w:r>
      <w:r w:rsidR="0004523C">
        <w:rPr>
          <w:szCs w:val="24"/>
        </w:rPr>
        <w:t>A</w:t>
      </w:r>
      <w:r w:rsidR="00A31962">
        <w:rPr>
          <w:szCs w:val="24"/>
        </w:rPr>
        <w:t xml:space="preserve">greement </w:t>
      </w:r>
      <w:r w:rsidR="00D63F14">
        <w:rPr>
          <w:szCs w:val="24"/>
        </w:rPr>
        <w:t>is largely ready for Milton Road</w:t>
      </w:r>
      <w:r w:rsidR="00A31962">
        <w:rPr>
          <w:szCs w:val="24"/>
        </w:rPr>
        <w:t xml:space="preserve"> on the same terms and conditions as the </w:t>
      </w:r>
      <w:r w:rsidR="0004523C">
        <w:rPr>
          <w:szCs w:val="24"/>
        </w:rPr>
        <w:t>originally proposed</w:t>
      </w:r>
      <w:r w:rsidR="00A31962">
        <w:rPr>
          <w:szCs w:val="24"/>
        </w:rPr>
        <w:t xml:space="preserve"> Community Facilities. </w:t>
      </w:r>
      <w:r w:rsidR="00B571E2">
        <w:rPr>
          <w:szCs w:val="24"/>
        </w:rPr>
        <w:t>`</w:t>
      </w:r>
    </w:p>
    <w:p w14:paraId="27999F1F" w14:textId="4B7A2EEB" w:rsidR="00520CC5" w:rsidRDefault="00520CC5" w:rsidP="00A31962">
      <w:pPr>
        <w:rPr>
          <w:szCs w:val="24"/>
        </w:rPr>
      </w:pPr>
    </w:p>
    <w:p w14:paraId="2966D23A" w14:textId="7700FAFE" w:rsidR="00520CC5" w:rsidRDefault="00520CC5" w:rsidP="00A31962">
      <w:pPr>
        <w:rPr>
          <w:szCs w:val="24"/>
        </w:rPr>
      </w:pPr>
      <w:r>
        <w:rPr>
          <w:szCs w:val="24"/>
        </w:rPr>
        <w:t xml:space="preserve">To ensure that the </w:t>
      </w:r>
      <w:r w:rsidR="00BE1A66">
        <w:rPr>
          <w:szCs w:val="24"/>
        </w:rPr>
        <w:t xml:space="preserve">further required design advice </w:t>
      </w:r>
      <w:r w:rsidR="00DE1D62">
        <w:rPr>
          <w:szCs w:val="24"/>
        </w:rPr>
        <w:t>and preparation is provided, it is proposed that the existing PCSA will be extended to cover this</w:t>
      </w:r>
      <w:r w:rsidR="00825254">
        <w:rPr>
          <w:szCs w:val="24"/>
        </w:rPr>
        <w:t xml:space="preserve">. </w:t>
      </w:r>
    </w:p>
    <w:p w14:paraId="7BA9DFA0" w14:textId="3EF4F8FB" w:rsidR="007214EC" w:rsidRDefault="007214EC" w:rsidP="00A31962">
      <w:pPr>
        <w:rPr>
          <w:szCs w:val="24"/>
        </w:rPr>
      </w:pPr>
    </w:p>
    <w:p w14:paraId="575271BB" w14:textId="77777777" w:rsidR="00A31962" w:rsidRDefault="00A31962" w:rsidP="009E2634">
      <w:pPr>
        <w:pStyle w:val="Heading2"/>
        <w:rPr>
          <w:rFonts w:ascii="Arial" w:hAnsi="Arial"/>
          <w:b w:val="0"/>
          <w:sz w:val="24"/>
          <w:szCs w:val="24"/>
        </w:rPr>
      </w:pPr>
      <w:r>
        <w:rPr>
          <w:rFonts w:ascii="Arial" w:hAnsi="Arial"/>
          <w:sz w:val="24"/>
          <w:szCs w:val="24"/>
        </w:rPr>
        <w:t xml:space="preserve">Procurement advice </w:t>
      </w:r>
    </w:p>
    <w:p w14:paraId="10E2056D" w14:textId="77777777" w:rsidR="00A31962" w:rsidRDefault="00A31962" w:rsidP="00A31962">
      <w:pPr>
        <w:rPr>
          <w:szCs w:val="24"/>
        </w:rPr>
      </w:pPr>
    </w:p>
    <w:p w14:paraId="49F6EF0E" w14:textId="43E2FA22" w:rsidR="00A31962" w:rsidRDefault="00A31962" w:rsidP="00A31962">
      <w:pPr>
        <w:rPr>
          <w:szCs w:val="24"/>
        </w:rPr>
      </w:pPr>
      <w:r>
        <w:rPr>
          <w:szCs w:val="24"/>
        </w:rPr>
        <w:t xml:space="preserve">Pinsent Masons have advised the Council on the procurement issues relating to the HSDP from the outset. Close liaison with them has been maintained by officers during the consideration of the options </w:t>
      </w:r>
      <w:r w:rsidR="006265EA">
        <w:rPr>
          <w:szCs w:val="24"/>
        </w:rPr>
        <w:t>for Milton Road</w:t>
      </w:r>
      <w:r>
        <w:rPr>
          <w:szCs w:val="24"/>
        </w:rPr>
        <w:t>.</w:t>
      </w:r>
    </w:p>
    <w:p w14:paraId="213DB85D" w14:textId="77777777" w:rsidR="00A31962" w:rsidRDefault="00A31962" w:rsidP="00A31962">
      <w:pPr>
        <w:rPr>
          <w:szCs w:val="24"/>
        </w:rPr>
      </w:pPr>
    </w:p>
    <w:p w14:paraId="5F7F0EBF" w14:textId="50DF6EFC" w:rsidR="00A31962" w:rsidRDefault="00432F45" w:rsidP="00A31962">
      <w:pPr>
        <w:rPr>
          <w:szCs w:val="24"/>
        </w:rPr>
      </w:pPr>
      <w:bookmarkStart w:id="1" w:name="_Hlk87352890"/>
      <w:r w:rsidRPr="001B73D9">
        <w:rPr>
          <w:szCs w:val="24"/>
        </w:rPr>
        <w:t xml:space="preserve">The proposed </w:t>
      </w:r>
      <w:r>
        <w:rPr>
          <w:szCs w:val="24"/>
        </w:rPr>
        <w:t>commissioning of</w:t>
      </w:r>
      <w:r w:rsidRPr="001B73D9">
        <w:rPr>
          <w:szCs w:val="24"/>
        </w:rPr>
        <w:t xml:space="preserve"> the HSDP in the manner proposed accords with the mechanisms contained in the HSDP legal documentation</w:t>
      </w:r>
      <w:r>
        <w:rPr>
          <w:szCs w:val="24"/>
        </w:rPr>
        <w:t>.</w:t>
      </w:r>
      <w:bookmarkEnd w:id="1"/>
    </w:p>
    <w:p w14:paraId="57F3A750" w14:textId="39668E91" w:rsidR="00A54A71" w:rsidRDefault="00A54A71" w:rsidP="00742E9C">
      <w:pPr>
        <w:rPr>
          <w:szCs w:val="24"/>
        </w:rPr>
      </w:pPr>
    </w:p>
    <w:p w14:paraId="52D44CD6" w14:textId="77777777" w:rsidR="00A54A71" w:rsidRDefault="00A54A71" w:rsidP="009E2634">
      <w:pPr>
        <w:pStyle w:val="Heading2"/>
        <w:rPr>
          <w:rFonts w:ascii="Arial" w:hAnsi="Arial"/>
          <w:sz w:val="24"/>
          <w:szCs w:val="24"/>
        </w:rPr>
      </w:pPr>
      <w:r>
        <w:rPr>
          <w:rFonts w:ascii="Arial" w:hAnsi="Arial"/>
          <w:sz w:val="24"/>
          <w:szCs w:val="24"/>
        </w:rPr>
        <w:t>S123 Best Consideration</w:t>
      </w:r>
    </w:p>
    <w:p w14:paraId="3594858F" w14:textId="77777777" w:rsidR="00A54A71" w:rsidRDefault="00A54A71" w:rsidP="00A54A71">
      <w:pPr>
        <w:rPr>
          <w:rFonts w:cs="Arial"/>
        </w:rPr>
      </w:pPr>
    </w:p>
    <w:p w14:paraId="1DD4944C" w14:textId="33B4EAB4" w:rsidR="00A54A71" w:rsidRDefault="009A774B" w:rsidP="00A54A71">
      <w:pPr>
        <w:pStyle w:val="Heading2"/>
        <w:rPr>
          <w:rFonts w:ascii="Arial" w:hAnsi="Arial"/>
          <w:b w:val="0"/>
          <w:bCs w:val="0"/>
          <w:sz w:val="24"/>
          <w:szCs w:val="24"/>
        </w:rPr>
      </w:pPr>
      <w:r w:rsidRPr="0F2ABB0F">
        <w:rPr>
          <w:rFonts w:ascii="Arial" w:hAnsi="Arial"/>
          <w:b w:val="0"/>
          <w:bCs w:val="0"/>
          <w:sz w:val="24"/>
          <w:szCs w:val="24"/>
        </w:rPr>
        <w:t>No disposal of land is taking place here and therefore the s123 best consideration issue does not apply.</w:t>
      </w:r>
    </w:p>
    <w:p w14:paraId="7F49D6D0" w14:textId="77777777" w:rsidR="00A54A71" w:rsidRDefault="00A54A71" w:rsidP="00A54A71">
      <w:pPr>
        <w:pStyle w:val="Heading2"/>
        <w:rPr>
          <w:rFonts w:ascii="Arial" w:hAnsi="Arial"/>
          <w:b w:val="0"/>
          <w:bCs w:val="0"/>
          <w:sz w:val="24"/>
          <w:szCs w:val="24"/>
        </w:rPr>
      </w:pPr>
    </w:p>
    <w:p w14:paraId="4EC2D409" w14:textId="77777777" w:rsidR="00A54A71" w:rsidRDefault="00A54A71" w:rsidP="009E2634">
      <w:pPr>
        <w:pStyle w:val="Heading2"/>
        <w:rPr>
          <w:rFonts w:ascii="Arial" w:hAnsi="Arial"/>
          <w:b w:val="0"/>
          <w:bCs w:val="0"/>
          <w:sz w:val="24"/>
          <w:szCs w:val="24"/>
        </w:rPr>
      </w:pPr>
      <w:r>
        <w:rPr>
          <w:rFonts w:ascii="Arial" w:hAnsi="Arial"/>
          <w:sz w:val="24"/>
          <w:szCs w:val="24"/>
        </w:rPr>
        <w:t xml:space="preserve">Subsidy Control </w:t>
      </w:r>
    </w:p>
    <w:p w14:paraId="234D3B75" w14:textId="77777777" w:rsidR="00A54A71" w:rsidRDefault="00A54A71" w:rsidP="00A54A71">
      <w:pPr>
        <w:rPr>
          <w:szCs w:val="24"/>
        </w:rPr>
      </w:pPr>
    </w:p>
    <w:p w14:paraId="1842CA71" w14:textId="26B19509" w:rsidR="00333FAA" w:rsidRPr="00F06E4E" w:rsidRDefault="00FA6F74" w:rsidP="00D862BD">
      <w:pPr>
        <w:pStyle w:val="Heading3"/>
        <w:ind w:left="0" w:firstLine="0"/>
        <w:rPr>
          <w:color w:val="0000FF"/>
        </w:rPr>
      </w:pPr>
      <w:r>
        <w:rPr>
          <w:rFonts w:eastAsia="Arial"/>
          <w:b w:val="0"/>
          <w:bCs w:val="0"/>
          <w:sz w:val="24"/>
          <w:szCs w:val="24"/>
        </w:rPr>
        <w:t>There are no subsidy control issues here</w:t>
      </w:r>
      <w:r w:rsidR="00A54A71">
        <w:rPr>
          <w:b w:val="0"/>
          <w:bCs w:val="0"/>
          <w:sz w:val="24"/>
          <w:szCs w:val="24"/>
        </w:rPr>
        <w:t>.</w:t>
      </w:r>
      <w:r w:rsidR="00E51538">
        <w:rPr>
          <w:b w:val="0"/>
          <w:bCs w:val="0"/>
          <w:sz w:val="24"/>
          <w:szCs w:val="24"/>
        </w:rPr>
        <w:t xml:space="preserve"> The Council is commissioning and paying for the </w:t>
      </w:r>
      <w:r w:rsidR="00C9505A">
        <w:rPr>
          <w:b w:val="0"/>
          <w:bCs w:val="0"/>
          <w:sz w:val="24"/>
          <w:szCs w:val="24"/>
        </w:rPr>
        <w:t xml:space="preserve">development management and the construction </w:t>
      </w:r>
      <w:r w:rsidR="00E51538">
        <w:rPr>
          <w:b w:val="0"/>
          <w:bCs w:val="0"/>
          <w:sz w:val="24"/>
          <w:szCs w:val="24"/>
        </w:rPr>
        <w:t>works</w:t>
      </w:r>
      <w:r w:rsidR="00C9505A">
        <w:rPr>
          <w:b w:val="0"/>
          <w:bCs w:val="0"/>
          <w:sz w:val="24"/>
          <w:szCs w:val="24"/>
        </w:rPr>
        <w:t>.</w:t>
      </w:r>
      <w:r w:rsidR="00E51538">
        <w:rPr>
          <w:b w:val="0"/>
          <w:bCs w:val="0"/>
          <w:sz w:val="24"/>
          <w:szCs w:val="24"/>
        </w:rPr>
        <w:t xml:space="preserve"> </w:t>
      </w:r>
      <w:r w:rsidR="00C9505A">
        <w:rPr>
          <w:b w:val="0"/>
          <w:bCs w:val="0"/>
          <w:sz w:val="24"/>
          <w:szCs w:val="24"/>
        </w:rPr>
        <w:t>T</w:t>
      </w:r>
      <w:r w:rsidR="00E51538">
        <w:rPr>
          <w:b w:val="0"/>
          <w:bCs w:val="0"/>
          <w:sz w:val="24"/>
          <w:szCs w:val="24"/>
        </w:rPr>
        <w:t xml:space="preserve">hese are </w:t>
      </w:r>
      <w:r w:rsidR="00C9505A">
        <w:rPr>
          <w:b w:val="0"/>
          <w:bCs w:val="0"/>
          <w:sz w:val="24"/>
          <w:szCs w:val="24"/>
        </w:rPr>
        <w:t>either already tendered in the market</w:t>
      </w:r>
      <w:r w:rsidR="00D87C6E">
        <w:rPr>
          <w:b w:val="0"/>
          <w:bCs w:val="0"/>
          <w:sz w:val="24"/>
          <w:szCs w:val="24"/>
        </w:rPr>
        <w:t>; will be exposed to the market before contracts are let or in the case of direct works carried out by Wates Construction Ltd</w:t>
      </w:r>
      <w:r w:rsidR="009A774B">
        <w:rPr>
          <w:b w:val="0"/>
          <w:bCs w:val="0"/>
          <w:sz w:val="24"/>
          <w:szCs w:val="24"/>
        </w:rPr>
        <w:t xml:space="preserve"> will be benchmarked on an open book basis as required by the constitution of the HSDP.</w:t>
      </w:r>
    </w:p>
    <w:p w14:paraId="7AA5D530" w14:textId="795A6ED3" w:rsidR="00307F76" w:rsidRDefault="00307F76" w:rsidP="001472A8">
      <w:pPr>
        <w:spacing w:before="240"/>
        <w:rPr>
          <w:b/>
          <w:szCs w:val="24"/>
        </w:rPr>
      </w:pPr>
      <w:r w:rsidRPr="00F06E4E">
        <w:rPr>
          <w:b/>
          <w:szCs w:val="24"/>
        </w:rPr>
        <w:t xml:space="preserve">Ward Councillors’ comments </w:t>
      </w:r>
    </w:p>
    <w:p w14:paraId="0C44B448" w14:textId="2F609E7F" w:rsidR="00EA0BBC" w:rsidRDefault="00153495" w:rsidP="00EA0BBC">
      <w:pPr>
        <w:spacing w:before="240"/>
      </w:pPr>
      <w:r w:rsidRPr="00601587">
        <w:rPr>
          <w:bCs/>
          <w:szCs w:val="24"/>
        </w:rPr>
        <w:t xml:space="preserve">Ward Councillors have been fully briefed on the scheme itself </w:t>
      </w:r>
      <w:r w:rsidR="00A53E56">
        <w:rPr>
          <w:bCs/>
          <w:szCs w:val="24"/>
        </w:rPr>
        <w:t xml:space="preserve">and are aware of the proposal to </w:t>
      </w:r>
      <w:r w:rsidR="00136510">
        <w:rPr>
          <w:bCs/>
          <w:szCs w:val="24"/>
        </w:rPr>
        <w:t>commission</w:t>
      </w:r>
      <w:r w:rsidR="00A53E56">
        <w:rPr>
          <w:bCs/>
          <w:szCs w:val="24"/>
        </w:rPr>
        <w:t xml:space="preserve"> this scheme to the HSDP</w:t>
      </w:r>
      <w:r w:rsidR="004B76E6">
        <w:rPr>
          <w:bCs/>
          <w:szCs w:val="24"/>
        </w:rPr>
        <w:t xml:space="preserve">. </w:t>
      </w:r>
      <w:r w:rsidR="00EA0BBC" w:rsidRPr="00EA0BBC">
        <w:t xml:space="preserve"> </w:t>
      </w:r>
      <w:r w:rsidR="00EA0BBC">
        <w:t>They are supportive of the scheme and of the approach taken. They have been consulted on the detail of this report.</w:t>
      </w:r>
    </w:p>
    <w:p w14:paraId="75284416" w14:textId="77777777" w:rsidR="00A81E19" w:rsidRPr="001472A8" w:rsidRDefault="00A81E19" w:rsidP="00A1211C">
      <w:pPr>
        <w:pStyle w:val="Heading3"/>
        <w:spacing w:before="480" w:after="240"/>
      </w:pPr>
      <w:r w:rsidRPr="001472A8">
        <w:t>Risk Management Implications</w:t>
      </w:r>
    </w:p>
    <w:p w14:paraId="50F8B339" w14:textId="230D0E5F" w:rsidR="00A81E19" w:rsidRPr="00A21423" w:rsidRDefault="00A81E19" w:rsidP="00A81E19">
      <w:pPr>
        <w:tabs>
          <w:tab w:val="left" w:pos="5610"/>
        </w:tabs>
        <w:ind w:right="81"/>
        <w:rPr>
          <w:rFonts w:cs="Arial"/>
          <w:szCs w:val="24"/>
          <w:lang w:val="en-US"/>
        </w:rPr>
      </w:pPr>
      <w:r w:rsidRPr="00A21423">
        <w:rPr>
          <w:rFonts w:cs="Arial"/>
          <w:szCs w:val="24"/>
          <w:lang w:val="en-US"/>
        </w:rPr>
        <w:t xml:space="preserve">Risk included on Directorate risk </w:t>
      </w:r>
      <w:proofErr w:type="gramStart"/>
      <w:r w:rsidRPr="00A21423">
        <w:rPr>
          <w:rFonts w:cs="Arial"/>
          <w:szCs w:val="24"/>
          <w:lang w:val="en-US"/>
        </w:rPr>
        <w:t>register?</w:t>
      </w:r>
      <w:proofErr w:type="gramEnd"/>
      <w:r w:rsidRPr="00A21423">
        <w:rPr>
          <w:rFonts w:cs="Arial"/>
          <w:szCs w:val="24"/>
          <w:lang w:val="en-US"/>
        </w:rPr>
        <w:t xml:space="preserve">  No</w:t>
      </w:r>
      <w:r w:rsidRPr="00A21423">
        <w:rPr>
          <w:rFonts w:cs="Arial"/>
          <w:szCs w:val="24"/>
          <w:lang w:val="en-US"/>
        </w:rPr>
        <w:tab/>
      </w:r>
    </w:p>
    <w:p w14:paraId="70006FD0" w14:textId="575CED6B" w:rsidR="00A81E19" w:rsidRPr="00A21423" w:rsidRDefault="00A81E19" w:rsidP="00A81E19">
      <w:pPr>
        <w:ind w:right="141"/>
        <w:rPr>
          <w:rFonts w:cs="Arial"/>
          <w:szCs w:val="24"/>
          <w:lang w:val="en-US" w:eastAsia="en-GB"/>
        </w:rPr>
      </w:pPr>
      <w:r w:rsidRPr="00A21423">
        <w:rPr>
          <w:rFonts w:cs="Arial"/>
          <w:szCs w:val="24"/>
          <w:lang w:val="en-US" w:eastAsia="en-GB"/>
        </w:rPr>
        <w:t>Separate risk register in place?  Yes</w:t>
      </w:r>
      <w:r w:rsidR="00E50B3C" w:rsidRPr="00A21423" w:rsidDel="00E50B3C">
        <w:rPr>
          <w:rFonts w:cs="Arial"/>
          <w:szCs w:val="24"/>
          <w:lang w:val="en-US" w:eastAsia="en-GB"/>
        </w:rPr>
        <w:t xml:space="preserve"> </w:t>
      </w:r>
    </w:p>
    <w:p w14:paraId="42559642" w14:textId="77777777" w:rsidR="00066625" w:rsidRDefault="005F2A28" w:rsidP="005F2A28">
      <w:pPr>
        <w:tabs>
          <w:tab w:val="left" w:pos="5610"/>
        </w:tabs>
        <w:suppressAutoHyphens/>
        <w:autoSpaceDN w:val="0"/>
        <w:ind w:right="81" w:hanging="567"/>
        <w:textAlignment w:val="baseline"/>
      </w:pPr>
      <w:r>
        <w:tab/>
      </w:r>
    </w:p>
    <w:p w14:paraId="0056BF25" w14:textId="32342263" w:rsidR="00066625" w:rsidRDefault="00066625" w:rsidP="005F2A28">
      <w:pPr>
        <w:tabs>
          <w:tab w:val="left" w:pos="5610"/>
        </w:tabs>
        <w:suppressAutoHyphens/>
        <w:autoSpaceDN w:val="0"/>
        <w:ind w:right="81" w:hanging="567"/>
        <w:textAlignment w:val="baseline"/>
        <w:rPr>
          <w:rFonts w:cs="Arial"/>
          <w:b/>
          <w:bCs/>
          <w:szCs w:val="24"/>
          <w:lang w:val="en-US" w:eastAsia="en-GB"/>
        </w:rPr>
      </w:pPr>
      <w:r>
        <w:tab/>
      </w:r>
      <w:r w:rsidR="005F2A28" w:rsidRPr="005F2A28">
        <w:t xml:space="preserve">The relevant risks contained in the register are attached/summarised below. </w:t>
      </w:r>
      <w:r w:rsidR="005F2A28" w:rsidRPr="005F2A28">
        <w:rPr>
          <w:rFonts w:cs="Arial"/>
          <w:b/>
          <w:bCs/>
          <w:szCs w:val="24"/>
          <w:lang w:val="en-US" w:eastAsia="en-GB"/>
        </w:rPr>
        <w:t>Yes</w:t>
      </w:r>
    </w:p>
    <w:p w14:paraId="770266F1" w14:textId="77777777" w:rsidR="00066625" w:rsidRDefault="00066625" w:rsidP="00066625"/>
    <w:p w14:paraId="39AD5E5A" w14:textId="52D5ADD6" w:rsidR="005F2A28" w:rsidRDefault="005F2A28" w:rsidP="00D862BD">
      <w:pPr>
        <w:rPr>
          <w:b/>
          <w:bCs/>
        </w:rPr>
      </w:pPr>
      <w:r w:rsidRPr="005F2A28">
        <w:lastRenderedPageBreak/>
        <w:t xml:space="preserve">The following key risks should be </w:t>
      </w:r>
      <w:proofErr w:type="gramStart"/>
      <w:r w:rsidRPr="005F2A28">
        <w:t xml:space="preserve">taken </w:t>
      </w:r>
      <w:r w:rsidR="005C7C11">
        <w:t>i</w:t>
      </w:r>
      <w:r w:rsidRPr="005F2A28">
        <w:t>nto account</w:t>
      </w:r>
      <w:proofErr w:type="gramEnd"/>
      <w:r w:rsidRPr="005F2A28">
        <w:t xml:space="preserve"> when agreeing the recommendations in this report:</w:t>
      </w:r>
    </w:p>
    <w:p w14:paraId="471238E6" w14:textId="77777777" w:rsidR="005F2A28" w:rsidRDefault="005F2A28" w:rsidP="005D548F">
      <w:pPr>
        <w:autoSpaceDE w:val="0"/>
        <w:autoSpaceDN w:val="0"/>
        <w:adjustRightInd w:val="0"/>
        <w:rPr>
          <w:b/>
          <w:bCs/>
        </w:rPr>
      </w:pPr>
    </w:p>
    <w:p w14:paraId="7CACFAEB" w14:textId="4B0983CD" w:rsidR="00007670" w:rsidRPr="00742E9C" w:rsidRDefault="00007670" w:rsidP="005D548F">
      <w:pPr>
        <w:autoSpaceDE w:val="0"/>
        <w:autoSpaceDN w:val="0"/>
        <w:adjustRightInd w:val="0"/>
        <w:rPr>
          <w:b/>
          <w:bCs/>
        </w:rPr>
      </w:pPr>
      <w:r w:rsidRPr="00742E9C">
        <w:rPr>
          <w:b/>
          <w:bCs/>
        </w:rPr>
        <w:t>Key Risks</w:t>
      </w:r>
    </w:p>
    <w:p w14:paraId="3AA479B8" w14:textId="52DE6CD9" w:rsidR="00007670" w:rsidRPr="00742E9C" w:rsidRDefault="00007670" w:rsidP="005D548F">
      <w:pPr>
        <w:autoSpaceDE w:val="0"/>
        <w:autoSpaceDN w:val="0"/>
        <w:adjustRightInd w:val="0"/>
        <w:rPr>
          <w:b/>
          <w:bCs/>
        </w:rPr>
      </w:pPr>
    </w:p>
    <w:p w14:paraId="36E962DB" w14:textId="77777777" w:rsidR="0044494C" w:rsidRDefault="0044494C" w:rsidP="0044494C">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4099"/>
        <w:gridCol w:w="1269"/>
      </w:tblGrid>
      <w:tr w:rsidR="0044494C" w14:paraId="52373B33" w14:textId="77777777" w:rsidTr="00C77A9D">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3282355D" w14:textId="77777777" w:rsidR="0044494C" w:rsidRDefault="0044494C" w:rsidP="00C77A9D">
            <w:pPr>
              <w:spacing w:line="247" w:lineRule="auto"/>
              <w:ind w:right="141"/>
              <w:rPr>
                <w:rFonts w:cs="Arial"/>
                <w:b/>
                <w:bCs/>
                <w:szCs w:val="24"/>
                <w:lang w:val="en-US" w:eastAsia="en-GB"/>
              </w:rPr>
            </w:pPr>
            <w:r>
              <w:rPr>
                <w:rFonts w:cs="Arial"/>
                <w:b/>
                <w:bCs/>
                <w:szCs w:val="24"/>
                <w:lang w:val="en-US" w:eastAsia="en-GB"/>
              </w:rPr>
              <w:t>Risk Description</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8460767" w14:textId="77777777" w:rsidR="0044494C" w:rsidRDefault="0044494C" w:rsidP="00C77A9D">
            <w:pPr>
              <w:spacing w:line="247" w:lineRule="auto"/>
              <w:ind w:right="141"/>
              <w:rPr>
                <w:rFonts w:cs="Arial"/>
                <w:b/>
                <w:bCs/>
                <w:szCs w:val="24"/>
                <w:lang w:val="en-US" w:eastAsia="en-GB"/>
              </w:rPr>
            </w:pPr>
            <w:r>
              <w:rPr>
                <w:rFonts w:cs="Arial"/>
                <w:b/>
                <w:bCs/>
                <w:szCs w:val="24"/>
                <w:lang w:val="en-US" w:eastAsia="en-GB"/>
              </w:rPr>
              <w:t>Mitigations</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96D35C" w14:textId="77777777" w:rsidR="0044494C" w:rsidRDefault="0044494C" w:rsidP="00C77A9D">
            <w:pPr>
              <w:spacing w:line="247" w:lineRule="auto"/>
              <w:ind w:left="171" w:right="141"/>
              <w:rPr>
                <w:rFonts w:cs="Arial"/>
                <w:b/>
                <w:bCs/>
                <w:szCs w:val="24"/>
                <w:lang w:val="en-US" w:eastAsia="en-GB"/>
              </w:rPr>
            </w:pPr>
            <w:r>
              <w:rPr>
                <w:rFonts w:cs="Arial"/>
                <w:b/>
                <w:bCs/>
                <w:szCs w:val="24"/>
                <w:lang w:val="en-US" w:eastAsia="en-GB"/>
              </w:rPr>
              <w:t>RAG Status</w:t>
            </w:r>
          </w:p>
        </w:tc>
      </w:tr>
      <w:tr w:rsidR="0044494C" w14:paraId="395460D7" w14:textId="77777777" w:rsidTr="006A462F">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E6F802" w14:textId="0A96A7F2" w:rsidR="0044494C" w:rsidRDefault="008C7BC2" w:rsidP="00EF4129">
            <w:pPr>
              <w:spacing w:line="247" w:lineRule="auto"/>
              <w:ind w:right="141"/>
              <w:rPr>
                <w:rFonts w:cs="Arial"/>
                <w:szCs w:val="24"/>
                <w:lang w:val="en-US" w:eastAsia="en-GB"/>
              </w:rPr>
            </w:pPr>
            <w:r>
              <w:t>Increase in build costs</w:t>
            </w:r>
            <w:r w:rsidR="00913EA5">
              <w:t xml:space="preserve"> </w:t>
            </w:r>
            <w:r w:rsidR="007D4E8E">
              <w:t xml:space="preserve">due to </w:t>
            </w:r>
            <w:r w:rsidR="007D4E8E" w:rsidRPr="007D4E8E">
              <w:t>shortages of building materials and labour across the construction industry compounded by Brexit and the pandemic</w:t>
            </w:r>
            <w:r w:rsidR="007D4E8E">
              <w:t xml:space="preserve">, </w:t>
            </w:r>
            <w:r w:rsidR="00913EA5">
              <w:t xml:space="preserve">and on overall project costs </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504583" w14:textId="1E14448D" w:rsidR="00EF4129" w:rsidRDefault="00EF4129" w:rsidP="00EF4129">
            <w:pPr>
              <w:autoSpaceDE w:val="0"/>
              <w:autoSpaceDN w:val="0"/>
              <w:adjustRightInd w:val="0"/>
            </w:pPr>
            <w:r>
              <w:t xml:space="preserve">The open book approach to procurement offered by the HSDP will ensure that the Council benefit from Wates economies of scale helping to achieve better value for money and the best possible quality. </w:t>
            </w:r>
            <w:r w:rsidR="00E70956">
              <w:t>A contingency has been included in the overall project costs.</w:t>
            </w:r>
          </w:p>
          <w:p w14:paraId="65940E27" w14:textId="77777777" w:rsidR="0044494C" w:rsidRDefault="0044494C" w:rsidP="00C77A9D">
            <w:pPr>
              <w:pStyle w:val="ListParagraph"/>
              <w:suppressAutoHyphens/>
              <w:autoSpaceDN w:val="0"/>
              <w:spacing w:line="247" w:lineRule="auto"/>
              <w:ind w:left="171" w:right="141"/>
              <w:rPr>
                <w:szCs w:val="24"/>
                <w:lang w:val="en-US"/>
              </w:rPr>
            </w:pP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7BEFCB3A" w14:textId="0556F305" w:rsidR="0044494C" w:rsidRDefault="00EF4129" w:rsidP="00C77A9D">
            <w:pPr>
              <w:spacing w:line="247" w:lineRule="auto"/>
              <w:ind w:left="171" w:right="141"/>
              <w:rPr>
                <w:rFonts w:cs="Arial"/>
                <w:szCs w:val="24"/>
                <w:lang w:val="en-US" w:eastAsia="en-GB"/>
              </w:rPr>
            </w:pPr>
            <w:r w:rsidRPr="00D8237B">
              <w:rPr>
                <w:rFonts w:cs="Arial"/>
                <w:szCs w:val="24"/>
                <w:lang w:val="en-US" w:eastAsia="en-GB"/>
              </w:rPr>
              <w:t>Amber</w:t>
            </w:r>
          </w:p>
        </w:tc>
      </w:tr>
      <w:tr w:rsidR="0044494C" w14:paraId="4CE64E73" w14:textId="77777777" w:rsidTr="00C77A9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3657EA" w14:textId="6B8D8947" w:rsidR="0044494C" w:rsidRDefault="00E2033B" w:rsidP="00480694">
            <w:pPr>
              <w:spacing w:line="247" w:lineRule="auto"/>
              <w:ind w:right="141"/>
              <w:rPr>
                <w:rFonts w:cs="Arial"/>
                <w:szCs w:val="24"/>
                <w:lang w:val="en-US" w:eastAsia="en-GB"/>
              </w:rPr>
            </w:pPr>
            <w:r>
              <w:t xml:space="preserve">Loss of grant </w:t>
            </w:r>
            <w:r w:rsidR="00CB6500">
              <w:t xml:space="preserve">funding </w:t>
            </w:r>
            <w:r w:rsidR="0082392E">
              <w:t>unde</w:t>
            </w:r>
            <w:r w:rsidR="008155A1">
              <w:t>r</w:t>
            </w:r>
            <w:r w:rsidR="0082392E">
              <w:t xml:space="preserve"> the Building Council Homes for Londoners</w:t>
            </w:r>
            <w:r w:rsidR="00A24476">
              <w:t xml:space="preserve"> programme if we are unable to </w:t>
            </w:r>
            <w:r w:rsidR="00CB6500">
              <w:t>s</w:t>
            </w:r>
            <w:r w:rsidR="00480694">
              <w:t xml:space="preserve">tart on site during the 2021/2022 financial year.  </w:t>
            </w:r>
          </w:p>
          <w:p w14:paraId="7513D9D1" w14:textId="1B4DB570" w:rsidR="00480694" w:rsidRDefault="00480694" w:rsidP="00C77A9D">
            <w:pPr>
              <w:spacing w:line="247" w:lineRule="auto"/>
              <w:ind w:right="141"/>
              <w:rPr>
                <w:rFonts w:cs="Arial"/>
                <w:szCs w:val="24"/>
                <w:lang w:val="en-US" w:eastAsia="en-GB"/>
              </w:rPr>
            </w:pP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19FD18" w14:textId="71F6316D" w:rsidR="0044494C" w:rsidRDefault="004857B4" w:rsidP="00C77A9D">
            <w:pPr>
              <w:pStyle w:val="ListParagraph"/>
              <w:suppressAutoHyphens/>
              <w:autoSpaceDN w:val="0"/>
              <w:spacing w:line="247" w:lineRule="auto"/>
              <w:ind w:left="171" w:right="141"/>
              <w:rPr>
                <w:szCs w:val="24"/>
                <w:lang w:val="en-US"/>
              </w:rPr>
            </w:pPr>
            <w:r>
              <w:rPr>
                <w:szCs w:val="24"/>
                <w:lang w:val="en-US"/>
              </w:rPr>
              <w:t>D</w:t>
            </w:r>
            <w:r w:rsidR="00CB6500" w:rsidRPr="00CB6500">
              <w:rPr>
                <w:szCs w:val="24"/>
                <w:lang w:val="en-US"/>
              </w:rPr>
              <w:t>esign and preparation for start on site will continue whilst the planning application is being determined. This will ensure that the project is in a good position to start on site as quickly and as safely as possible.</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510F2409" w14:textId="77777777" w:rsidR="0044494C" w:rsidRDefault="0044494C" w:rsidP="00C77A9D">
            <w:pPr>
              <w:spacing w:line="247" w:lineRule="auto"/>
              <w:ind w:right="141"/>
              <w:rPr>
                <w:rFonts w:cs="Arial"/>
                <w:szCs w:val="24"/>
                <w:lang w:val="en-US" w:eastAsia="en-GB"/>
              </w:rPr>
            </w:pPr>
            <w:r>
              <w:rPr>
                <w:rFonts w:cs="Arial"/>
                <w:szCs w:val="24"/>
                <w:lang w:val="en-US" w:eastAsia="en-GB"/>
              </w:rPr>
              <w:t>Green</w:t>
            </w:r>
          </w:p>
        </w:tc>
      </w:tr>
      <w:tr w:rsidR="00EB3EDE" w14:paraId="3A04B088" w14:textId="77777777" w:rsidTr="007E17FE">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DC028C" w14:textId="0219290A" w:rsidR="00EB3EDE" w:rsidRDefault="00CF3FEA" w:rsidP="00480694">
            <w:pPr>
              <w:spacing w:line="247" w:lineRule="auto"/>
              <w:ind w:right="141"/>
            </w:pPr>
            <w:proofErr w:type="spellStart"/>
            <w:r>
              <w:t>BCHfL</w:t>
            </w:r>
            <w:proofErr w:type="spellEnd"/>
            <w:r>
              <w:t xml:space="preserve"> programme cost targets are not met</w:t>
            </w:r>
            <w:r w:rsidR="00FB66E5">
              <w:t xml:space="preserve"> resulting in reduced number of homes delivered</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5A7753" w14:textId="77C1FF15" w:rsidR="00EB3EDE" w:rsidRDefault="00231A91" w:rsidP="00C77A9D">
            <w:pPr>
              <w:pStyle w:val="ListParagraph"/>
              <w:suppressAutoHyphens/>
              <w:autoSpaceDN w:val="0"/>
              <w:spacing w:line="247" w:lineRule="auto"/>
              <w:ind w:left="171" w:right="141"/>
              <w:rPr>
                <w:szCs w:val="24"/>
                <w:lang w:val="en-US"/>
              </w:rPr>
            </w:pPr>
            <w:r>
              <w:rPr>
                <w:szCs w:val="24"/>
                <w:lang w:val="en-US"/>
              </w:rPr>
              <w:t xml:space="preserve">Higher cost schemes are balanced by lower cost schemes to achieve the target </w:t>
            </w:r>
            <w:r w:rsidR="007E17FE">
              <w:rPr>
                <w:szCs w:val="24"/>
                <w:lang w:val="en-US"/>
              </w:rPr>
              <w:t>average cost.</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0EA0630D" w14:textId="55AEA2CA" w:rsidR="00EB3EDE" w:rsidRDefault="007E17FE" w:rsidP="00C77A9D">
            <w:pPr>
              <w:spacing w:line="247" w:lineRule="auto"/>
              <w:ind w:right="141"/>
              <w:rPr>
                <w:rFonts w:cs="Arial"/>
                <w:szCs w:val="24"/>
                <w:lang w:val="en-US" w:eastAsia="en-GB"/>
              </w:rPr>
            </w:pPr>
            <w:r>
              <w:rPr>
                <w:rFonts w:cs="Arial"/>
                <w:szCs w:val="24"/>
                <w:lang w:val="en-US" w:eastAsia="en-GB"/>
              </w:rPr>
              <w:t>Amber</w:t>
            </w:r>
          </w:p>
        </w:tc>
      </w:tr>
      <w:tr w:rsidR="0006386F" w14:paraId="7C239EA8" w14:textId="77777777" w:rsidTr="00C77A9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8C78D1" w14:textId="2A208682" w:rsidR="0006386F" w:rsidRDefault="009B5F9E" w:rsidP="00480694">
            <w:pPr>
              <w:spacing w:line="247" w:lineRule="auto"/>
              <w:ind w:right="141"/>
            </w:pPr>
            <w:r>
              <w:t>Challenge to the procurement</w:t>
            </w:r>
            <w:r w:rsidR="002D6B7E">
              <w:t xml:space="preserve"> route to commission </w:t>
            </w:r>
            <w:r w:rsidR="00ED28AF">
              <w:t xml:space="preserve">the HSDP to carry out the demolition and </w:t>
            </w:r>
            <w:r w:rsidR="00834F7D">
              <w:t>redevelopment of this site</w:t>
            </w:r>
            <w:r>
              <w:t xml:space="preserve"> </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039071" w14:textId="07156BCD" w:rsidR="0006386F" w:rsidRDefault="00C462EC" w:rsidP="00C77A9D">
            <w:pPr>
              <w:pStyle w:val="ListParagraph"/>
              <w:suppressAutoHyphens/>
              <w:autoSpaceDN w:val="0"/>
              <w:spacing w:line="247" w:lineRule="auto"/>
              <w:ind w:left="171" w:right="141"/>
              <w:rPr>
                <w:szCs w:val="24"/>
                <w:lang w:val="en-US"/>
              </w:rPr>
            </w:pPr>
            <w:r>
              <w:rPr>
                <w:szCs w:val="24"/>
                <w:lang w:val="en-US"/>
              </w:rPr>
              <w:t>Legal advice obtained</w:t>
            </w:r>
            <w:r w:rsidR="00D67030">
              <w:rPr>
                <w:szCs w:val="24"/>
                <w:lang w:val="en-US"/>
              </w:rPr>
              <w:t>.</w:t>
            </w:r>
            <w:r>
              <w:rPr>
                <w:szCs w:val="24"/>
                <w:lang w:val="en-US"/>
              </w:rPr>
              <w:t xml:space="preserve"> </w:t>
            </w:r>
            <w:r w:rsidR="00AF38F1" w:rsidRPr="00AF38F1">
              <w:rPr>
                <w:szCs w:val="24"/>
                <w:lang w:val="en-US"/>
              </w:rPr>
              <w:t>The proposed commissioning of the HSDP in the manner proposed accords with the mechanisms contained in the HSDP legal documentation.</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2AC90077" w14:textId="487BF5F0" w:rsidR="0006386F" w:rsidRDefault="00644655" w:rsidP="00C77A9D">
            <w:pPr>
              <w:spacing w:line="247" w:lineRule="auto"/>
              <w:ind w:right="141"/>
              <w:rPr>
                <w:rFonts w:cs="Arial"/>
                <w:szCs w:val="24"/>
                <w:lang w:val="en-US" w:eastAsia="en-GB"/>
              </w:rPr>
            </w:pPr>
            <w:r>
              <w:rPr>
                <w:rFonts w:cs="Arial"/>
                <w:szCs w:val="24"/>
                <w:lang w:val="en-US" w:eastAsia="en-GB"/>
              </w:rPr>
              <w:t>Green</w:t>
            </w:r>
          </w:p>
        </w:tc>
      </w:tr>
      <w:tr w:rsidR="0044494C" w14:paraId="52F1F6D5" w14:textId="77777777" w:rsidTr="00C77A9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A5C822C" w14:textId="01BAA67B" w:rsidR="0044494C" w:rsidRPr="004C16F5" w:rsidRDefault="00644655" w:rsidP="00C241CE">
            <w:pPr>
              <w:spacing w:line="247" w:lineRule="auto"/>
              <w:ind w:right="141"/>
              <w:rPr>
                <w:rFonts w:cs="Arial"/>
                <w:szCs w:val="24"/>
                <w:lang w:val="en-US" w:eastAsia="en-GB"/>
              </w:rPr>
            </w:pPr>
            <w:r>
              <w:rPr>
                <w:rFonts w:cs="Arial"/>
                <w:szCs w:val="24"/>
                <w:lang w:val="en-US" w:eastAsia="en-GB"/>
              </w:rPr>
              <w:t xml:space="preserve">Health and Safety </w:t>
            </w:r>
            <w:r w:rsidR="00C241CE">
              <w:rPr>
                <w:rFonts w:cs="Arial"/>
                <w:szCs w:val="24"/>
                <w:lang w:val="en-US" w:eastAsia="en-GB"/>
              </w:rPr>
              <w:t xml:space="preserve">construction </w:t>
            </w:r>
            <w:r>
              <w:rPr>
                <w:rFonts w:cs="Arial"/>
                <w:szCs w:val="24"/>
                <w:lang w:val="en-US" w:eastAsia="en-GB"/>
              </w:rPr>
              <w:t xml:space="preserve">risks </w:t>
            </w:r>
            <w:r w:rsidR="00C241CE">
              <w:rPr>
                <w:rFonts w:cs="Arial"/>
                <w:szCs w:val="24"/>
                <w:lang w:val="en-US" w:eastAsia="en-GB"/>
              </w:rPr>
              <w:t>due to the s</w:t>
            </w:r>
            <w:r w:rsidR="00CB6500" w:rsidRPr="00CB6500">
              <w:rPr>
                <w:rFonts w:cs="Arial"/>
                <w:szCs w:val="24"/>
                <w:lang w:val="en-US" w:eastAsia="en-GB"/>
              </w:rPr>
              <w:t xml:space="preserve">ite </w:t>
            </w:r>
            <w:r w:rsidR="00C241CE">
              <w:rPr>
                <w:rFonts w:cs="Arial"/>
                <w:szCs w:val="24"/>
                <w:lang w:val="en-US" w:eastAsia="en-GB"/>
              </w:rPr>
              <w:t>location</w:t>
            </w:r>
            <w:r w:rsidR="00AF38F1">
              <w:rPr>
                <w:rFonts w:cs="Arial"/>
                <w:szCs w:val="24"/>
                <w:lang w:val="en-US" w:eastAsia="en-GB"/>
              </w:rPr>
              <w:t xml:space="preserve"> </w:t>
            </w:r>
            <w:r w:rsidR="00CB6500" w:rsidRPr="00CB6500">
              <w:rPr>
                <w:rFonts w:cs="Arial"/>
                <w:szCs w:val="24"/>
                <w:lang w:val="en-US" w:eastAsia="en-GB"/>
              </w:rPr>
              <w:t xml:space="preserve">on a very busy corner with frequent </w:t>
            </w:r>
            <w:r w:rsidR="00D862BD" w:rsidRPr="00CB6500">
              <w:rPr>
                <w:rFonts w:cs="Arial"/>
                <w:szCs w:val="24"/>
                <w:lang w:val="en-US" w:eastAsia="en-GB"/>
              </w:rPr>
              <w:t>high-volume</w:t>
            </w:r>
            <w:r w:rsidR="00CB6500" w:rsidRPr="00CB6500">
              <w:rPr>
                <w:rFonts w:cs="Arial"/>
                <w:szCs w:val="24"/>
                <w:lang w:val="en-US" w:eastAsia="en-GB"/>
              </w:rPr>
              <w:t xml:space="preserve"> vehicle and pedestrian traffic</w:t>
            </w:r>
          </w:p>
        </w:tc>
        <w:tc>
          <w:tcPr>
            <w:tcW w:w="4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853304" w14:textId="3F346442" w:rsidR="0044494C" w:rsidRDefault="00CB6500" w:rsidP="00C77A9D">
            <w:pPr>
              <w:pStyle w:val="ListParagraph"/>
              <w:suppressAutoHyphens/>
              <w:autoSpaceDN w:val="0"/>
              <w:spacing w:line="247" w:lineRule="auto"/>
              <w:ind w:left="171" w:right="141"/>
              <w:rPr>
                <w:szCs w:val="24"/>
                <w:lang w:val="en-US"/>
              </w:rPr>
            </w:pPr>
            <w:r w:rsidRPr="00CB6500">
              <w:rPr>
                <w:szCs w:val="24"/>
                <w:lang w:val="en-US"/>
              </w:rPr>
              <w:t xml:space="preserve">As the Council’s delivery partner, Wates will have responsibility for site </w:t>
            </w:r>
            <w:r w:rsidR="00D862BD" w:rsidRPr="00CB6500">
              <w:rPr>
                <w:szCs w:val="24"/>
                <w:lang w:val="en-US"/>
              </w:rPr>
              <w:t>safety,</w:t>
            </w:r>
            <w:r w:rsidRPr="00CB6500">
              <w:rPr>
                <w:szCs w:val="24"/>
                <w:lang w:val="en-US"/>
              </w:rPr>
              <w:t xml:space="preserve"> and this will be </w:t>
            </w:r>
            <w:r w:rsidR="002D4015">
              <w:rPr>
                <w:szCs w:val="24"/>
                <w:lang w:val="en-US"/>
              </w:rPr>
              <w:t>monitored</w:t>
            </w:r>
            <w:r w:rsidRPr="00CB6500">
              <w:rPr>
                <w:szCs w:val="24"/>
                <w:lang w:val="en-US"/>
              </w:rPr>
              <w:t xml:space="preserve"> by the Council</w:t>
            </w:r>
            <w:r w:rsidR="002D4015">
              <w:rPr>
                <w:szCs w:val="24"/>
                <w:lang w:val="en-US"/>
              </w:rPr>
              <w:t>.</w:t>
            </w:r>
            <w:r w:rsidRPr="00CB6500">
              <w:rPr>
                <w:szCs w:val="24"/>
                <w:lang w:val="en-US"/>
              </w:rPr>
              <w:t xml:space="preserve"> Wates will prepare and deliver a clear health and safety management </w:t>
            </w:r>
            <w:proofErr w:type="gramStart"/>
            <w:r w:rsidRPr="00CB6500">
              <w:rPr>
                <w:szCs w:val="24"/>
                <w:lang w:val="en-US"/>
              </w:rPr>
              <w:t>plan</w:t>
            </w:r>
            <w:proofErr w:type="gramEnd"/>
            <w:r w:rsidRPr="00CB6500">
              <w:rPr>
                <w:szCs w:val="24"/>
                <w:lang w:val="en-US"/>
              </w:rPr>
              <w:t xml:space="preserve"> and this will be reviewed and reported on frequently.</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2A0312B8" w14:textId="77777777" w:rsidR="0044494C" w:rsidRDefault="0044494C" w:rsidP="00C77A9D">
            <w:pPr>
              <w:spacing w:line="247" w:lineRule="auto"/>
              <w:ind w:right="141"/>
              <w:rPr>
                <w:rFonts w:cs="Arial"/>
                <w:szCs w:val="24"/>
                <w:lang w:val="en-US" w:eastAsia="en-GB"/>
              </w:rPr>
            </w:pPr>
            <w:r>
              <w:rPr>
                <w:rFonts w:cs="Arial"/>
                <w:szCs w:val="24"/>
                <w:lang w:val="en-US" w:eastAsia="en-GB"/>
              </w:rPr>
              <w:t>Green</w:t>
            </w:r>
          </w:p>
        </w:tc>
      </w:tr>
    </w:tbl>
    <w:p w14:paraId="0249BBDB" w14:textId="77777777" w:rsidR="002A3FEF" w:rsidRDefault="002A3FEF" w:rsidP="00A1211C">
      <w:pPr>
        <w:pStyle w:val="Heading3"/>
        <w:spacing w:before="480" w:after="240"/>
      </w:pPr>
      <w:r>
        <w:t xml:space="preserve">Procurement Implications </w:t>
      </w:r>
    </w:p>
    <w:p w14:paraId="1A66772C" w14:textId="6D5A81CE" w:rsidR="008E4BD8" w:rsidRDefault="008E4BD8" w:rsidP="00AD1E77">
      <w:r>
        <w:t>The Director of Procurement has been consulted and fully involved in all discussions and is satisfied this is the correct procurement approach</w:t>
      </w:r>
      <w:r w:rsidR="00FE67F3">
        <w:t xml:space="preserve"> and complies with the Council’s Contract Procedure rules and Public Contract regulations</w:t>
      </w:r>
      <w:r>
        <w:t xml:space="preserve">. </w:t>
      </w:r>
    </w:p>
    <w:p w14:paraId="4432BE83" w14:textId="69C37909" w:rsidR="00D862BD" w:rsidRDefault="00D862BD" w:rsidP="00AD1E77"/>
    <w:p w14:paraId="0B07391F" w14:textId="2F270E7D" w:rsidR="00D862BD" w:rsidRDefault="00D862BD" w:rsidP="00AD1E77"/>
    <w:p w14:paraId="08639C0B" w14:textId="77777777" w:rsidR="00D862BD" w:rsidRDefault="00D862BD" w:rsidP="00AD1E77"/>
    <w:p w14:paraId="44413A6E" w14:textId="77777777" w:rsidR="00333FAA" w:rsidRDefault="00333FAA" w:rsidP="00A1211C">
      <w:pPr>
        <w:pStyle w:val="Heading3"/>
        <w:spacing w:before="480" w:after="240"/>
      </w:pPr>
      <w:r>
        <w:t>Legal Implications</w:t>
      </w:r>
    </w:p>
    <w:p w14:paraId="17D2E218" w14:textId="601F8D8A" w:rsidR="00250CEF" w:rsidRDefault="00342436" w:rsidP="00250CEF">
      <w:r w:rsidRPr="00342436">
        <w:t>Pinsent Masons have been retained to advise the Council throughout the entirety of the HSDP project.  Close liaison with them has been maintained by officers during the consideration of the options for Milton Road.</w:t>
      </w:r>
      <w:r w:rsidR="00250CEF" w:rsidRPr="00250CEF">
        <w:t xml:space="preserve"> </w:t>
      </w:r>
      <w:r w:rsidR="00250CEF" w:rsidRPr="00D94045">
        <w:t>The proposed commissioning of the HSDP in the manner proposed accords with the mechanisms contained in the HSDP legal documentation.</w:t>
      </w:r>
    </w:p>
    <w:p w14:paraId="04C35450" w14:textId="77777777" w:rsidR="00640963" w:rsidRDefault="00640963" w:rsidP="00640963">
      <w:pPr>
        <w:rPr>
          <w:rFonts w:cs="Arial"/>
          <w:b/>
          <w:bCs/>
          <w:i/>
          <w:iCs/>
          <w:color w:val="44546A"/>
        </w:rPr>
      </w:pPr>
    </w:p>
    <w:p w14:paraId="497B4632" w14:textId="31614D23" w:rsidR="00640963" w:rsidRPr="00640963" w:rsidRDefault="00640963" w:rsidP="00640963">
      <w:r w:rsidRPr="00640963">
        <w:rPr>
          <w:rFonts w:cs="Arial"/>
        </w:rPr>
        <w:t>The PCSA can lawfully be extended under the Public Contracts Regulations to include the RIBA stage 4 design and preparation for the demolition of Civic 9.</w:t>
      </w:r>
    </w:p>
    <w:p w14:paraId="11F2AC04" w14:textId="52D17B7D" w:rsidR="00333FAA" w:rsidRDefault="00333FAA" w:rsidP="00A1211C">
      <w:pPr>
        <w:pStyle w:val="Heading3"/>
        <w:spacing w:before="480" w:after="240"/>
      </w:pPr>
      <w:r>
        <w:t>Financial Implications</w:t>
      </w:r>
    </w:p>
    <w:p w14:paraId="0BEE7DAE" w14:textId="109C0C47" w:rsidR="005E6037" w:rsidRDefault="005E6037" w:rsidP="005E6037">
      <w:r>
        <w:t xml:space="preserve">This is the redevelopment of a site to provide approximately 39 affordable housing units, all delivered as affordable housing, with a range of typology including flats, houses, and townhouses. The total development cost is £14.9m which includes £0.500m for the </w:t>
      </w:r>
      <w:proofErr w:type="spellStart"/>
      <w:r>
        <w:t>reprovision</w:t>
      </w:r>
      <w:proofErr w:type="spellEnd"/>
      <w:r>
        <w:t xml:space="preserve"> of a non</w:t>
      </w:r>
      <w:r w:rsidR="00C23C7C">
        <w:t>-</w:t>
      </w:r>
      <w:r>
        <w:t>residential community use unit.</w:t>
      </w:r>
    </w:p>
    <w:p w14:paraId="5758341B" w14:textId="77777777" w:rsidR="005E6037" w:rsidRDefault="005E6037" w:rsidP="005E6037"/>
    <w:p w14:paraId="6DD3DCFA" w14:textId="77777777" w:rsidR="005E6037" w:rsidRDefault="005E6037" w:rsidP="005E6037">
      <w:r>
        <w:t>The redevelopment of the whole scheme (affordable housing units and the non-residential unit) will be funded from budgets held with the Building Council Homes for Londoners Programme (</w:t>
      </w:r>
      <w:proofErr w:type="spellStart"/>
      <w:r>
        <w:t>BCHfL</w:t>
      </w:r>
      <w:proofErr w:type="spellEnd"/>
      <w:r>
        <w:t xml:space="preserve">). This programme is being funded from GLA grant (£32m) and Council borrowing of £121m which is provided for within the Council’s approved Capital Programme. </w:t>
      </w:r>
    </w:p>
    <w:p w14:paraId="73D1559C" w14:textId="77777777" w:rsidR="005E6037" w:rsidRDefault="005E6037" w:rsidP="005E6037"/>
    <w:p w14:paraId="40CE2600" w14:textId="77777777" w:rsidR="005E6037" w:rsidRDefault="005E6037" w:rsidP="005E6037">
      <w:r>
        <w:t xml:space="preserve">The affordable housing units will be held by the Council (Housing Revenue Account) and this has been tested for affordability within the HRA Business Plan. This is based on the servicing of interest only. The non-residential unit is subject to further discussions and if this was to be transferred within the Council to the General Fund, this would be subject to Cabinet approval. </w:t>
      </w:r>
    </w:p>
    <w:p w14:paraId="3F94B03B" w14:textId="77777777" w:rsidR="005E6037" w:rsidRDefault="005E6037" w:rsidP="005E6037"/>
    <w:p w14:paraId="28CC4B71" w14:textId="675D40C5" w:rsidR="00C70F63" w:rsidRDefault="005E6037" w:rsidP="005E6037">
      <w:r>
        <w:t xml:space="preserve">The original BCHFL programme was approved by Cabinet 27th February 2019 to proceed with the programme of building 659 new units to be held within the Council (HRA) subject to affordability as the programme progresses.  Since agreeing the original programme, estimated build costs have increased and the approved Housing Revenue Account Budget 2020/21 and Medium Term Financial Strategy 2021/22 to 2023/24 included an increase in the </w:t>
      </w:r>
      <w:proofErr w:type="spellStart"/>
      <w:r>
        <w:t>BCHfL</w:t>
      </w:r>
      <w:proofErr w:type="spellEnd"/>
      <w:r>
        <w:t xml:space="preserve"> programme to take account of this increase in estimated build costs -averaging at £325k per unit. The current estimated cost per unit for Milton road is at £345k. This increased cost can be contained within the overall Council (HRA) </w:t>
      </w:r>
      <w:proofErr w:type="spellStart"/>
      <w:r>
        <w:t>BCHfL</w:t>
      </w:r>
      <w:proofErr w:type="spellEnd"/>
      <w:r>
        <w:t xml:space="preserve"> Programme budget as not all units have yet been allocated to the Programme. However, in order to still meet the original target new build programme of 659 units there will need to be schemes that come in at lower cost than £325k per unit for this to be achieved.</w:t>
      </w:r>
    </w:p>
    <w:p w14:paraId="7F8ABFB2" w14:textId="08E912B8" w:rsidR="00973F73" w:rsidRDefault="00973F73" w:rsidP="005E6037"/>
    <w:p w14:paraId="707FC47A" w14:textId="30CFFA9F" w:rsidR="00973F73" w:rsidRDefault="00973F73" w:rsidP="005E6037">
      <w:r w:rsidRPr="00973F73">
        <w:t>The development of the Milton Road Site will be undertaken under a Community Works Agreement.  This will not impact on the financial arrangements for the joint developments by the HSDP LLP which are carried out on a 50/50 basis.</w:t>
      </w:r>
    </w:p>
    <w:p w14:paraId="41D80CF8" w14:textId="77777777" w:rsidR="00333FAA" w:rsidRPr="00303FD6" w:rsidRDefault="00333FAA" w:rsidP="00A1211C">
      <w:pPr>
        <w:pStyle w:val="Heading3"/>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57019CFA" w14:textId="77777777" w:rsidR="00A41CD3" w:rsidRPr="003F2301" w:rsidRDefault="00A41CD3" w:rsidP="00A41CD3">
      <w:pPr>
        <w:rPr>
          <w:iCs/>
        </w:rPr>
      </w:pPr>
      <w:r w:rsidRPr="003F2301">
        <w:rPr>
          <w:iCs/>
        </w:rPr>
        <w:t>The Harrow Strategic Development Partnership has been formed to deliver the Council’s regeneration ambitions on the three core sites. These objectives, particularly in terms of the acceleration of the pace of housing delivery are specifically targeted at creating benefit for all of Harrow’s diverse communities. The addition of 39 units to the HSDP is likely therefore to further increase benefit for members of the protected groups.</w:t>
      </w:r>
    </w:p>
    <w:p w14:paraId="73F000C7" w14:textId="77777777" w:rsidR="00A41CD3" w:rsidRPr="003F2301" w:rsidRDefault="00A41CD3" w:rsidP="00A41CD3">
      <w:pPr>
        <w:rPr>
          <w:iCs/>
        </w:rPr>
      </w:pPr>
    </w:p>
    <w:p w14:paraId="2A470A86" w14:textId="28E0164E" w:rsidR="00490DB9" w:rsidRPr="003F2301" w:rsidRDefault="00A41CD3" w:rsidP="00A41CD3">
      <w:pPr>
        <w:rPr>
          <w:iCs/>
        </w:rPr>
      </w:pPr>
      <w:r w:rsidRPr="003F2301">
        <w:rPr>
          <w:iCs/>
        </w:rPr>
        <w:t xml:space="preserve">A detailed </w:t>
      </w:r>
      <w:r w:rsidR="00D862BD">
        <w:rPr>
          <w:iCs/>
        </w:rPr>
        <w:t>Equalities Impact Assessment (</w:t>
      </w:r>
      <w:proofErr w:type="spellStart"/>
      <w:r w:rsidRPr="003F2301">
        <w:rPr>
          <w:iCs/>
        </w:rPr>
        <w:t>EqIA</w:t>
      </w:r>
      <w:proofErr w:type="spellEnd"/>
      <w:r w:rsidR="00D862BD">
        <w:rPr>
          <w:iCs/>
        </w:rPr>
        <w:t>)</w:t>
      </w:r>
      <w:r w:rsidRPr="003F2301">
        <w:rPr>
          <w:iCs/>
        </w:rPr>
        <w:t xml:space="preserve"> was carried out when the decision was taken to establish the HSDP and full </w:t>
      </w:r>
      <w:proofErr w:type="spellStart"/>
      <w:r w:rsidRPr="003F2301">
        <w:rPr>
          <w:iCs/>
        </w:rPr>
        <w:t>EqIA</w:t>
      </w:r>
      <w:proofErr w:type="spellEnd"/>
      <w:r w:rsidRPr="003F2301">
        <w:rPr>
          <w:iCs/>
        </w:rPr>
        <w:t xml:space="preserve"> will be carried out in respect of every </w:t>
      </w:r>
      <w:proofErr w:type="gramStart"/>
      <w:r w:rsidRPr="003F2301">
        <w:rPr>
          <w:iCs/>
        </w:rPr>
        <w:t>site specific</w:t>
      </w:r>
      <w:proofErr w:type="gramEnd"/>
      <w:r w:rsidRPr="003F2301">
        <w:rPr>
          <w:iCs/>
        </w:rPr>
        <w:t xml:space="preserve"> business plan. The Poets Corner Business Plan, together with those of the other core sites is intended to be brought to Cabinet in February of 2022 and the Milton Road scheme will be included in the detailed consideration of the implications of that site.</w:t>
      </w:r>
    </w:p>
    <w:p w14:paraId="0E9ED8C5" w14:textId="77777777" w:rsidR="00333FAA" w:rsidRPr="009117F2" w:rsidRDefault="00333FAA" w:rsidP="00A1211C">
      <w:pPr>
        <w:pStyle w:val="Heading3"/>
        <w:spacing w:before="480" w:after="240"/>
      </w:pPr>
      <w:r>
        <w:t xml:space="preserve">Council </w:t>
      </w:r>
      <w:r w:rsidRPr="009117F2">
        <w:t>Priorities</w:t>
      </w:r>
    </w:p>
    <w:p w14:paraId="7EEEB0D0" w14:textId="5CA31752" w:rsidR="001966D7" w:rsidRPr="00CD57D8" w:rsidRDefault="00BD4583" w:rsidP="001966D7">
      <w:pPr>
        <w:rPr>
          <w:rFonts w:cs="Arial"/>
          <w:szCs w:val="24"/>
          <w:lang w:val="en-US"/>
        </w:rPr>
      </w:pPr>
      <w:r>
        <w:rPr>
          <w:rFonts w:cs="Arial"/>
          <w:szCs w:val="24"/>
          <w:lang w:val="en-US"/>
        </w:rPr>
        <w:t>By delivering an additional 39 units of affordable housing</w:t>
      </w:r>
      <w:r w:rsidR="00000A3D">
        <w:rPr>
          <w:rFonts w:cs="Arial"/>
          <w:szCs w:val="24"/>
          <w:lang w:val="en-US"/>
        </w:rPr>
        <w:t xml:space="preserve"> the scheme helps </w:t>
      </w:r>
      <w:r w:rsidR="0038021A">
        <w:rPr>
          <w:rFonts w:cs="Arial"/>
          <w:szCs w:val="24"/>
          <w:lang w:val="en-US"/>
        </w:rPr>
        <w:t>address each of the Council’s priorities.</w:t>
      </w:r>
      <w:r w:rsidR="001966D7" w:rsidRPr="00CD57D8">
        <w:rPr>
          <w:rFonts w:cs="Arial"/>
          <w:szCs w:val="24"/>
          <w:lang w:val="en-US"/>
        </w:rPr>
        <w:t xml:space="preserve"> </w:t>
      </w:r>
    </w:p>
    <w:p w14:paraId="160FF72E" w14:textId="77777777" w:rsidR="002C4E55" w:rsidRPr="002C4E55" w:rsidRDefault="00D0381E" w:rsidP="002C4E55">
      <w:pPr>
        <w:pStyle w:val="ListParagraph"/>
        <w:numPr>
          <w:ilvl w:val="0"/>
          <w:numId w:val="40"/>
        </w:numPr>
        <w:autoSpaceDE w:val="0"/>
        <w:autoSpaceDN w:val="0"/>
        <w:spacing w:before="240"/>
        <w:rPr>
          <w:b/>
          <w:bCs/>
        </w:rPr>
      </w:pPr>
      <w:r w:rsidRPr="00D0381E">
        <w:rPr>
          <w:b/>
        </w:rPr>
        <w:t>Improving the environment and addressing climate change</w:t>
      </w:r>
    </w:p>
    <w:p w14:paraId="2CF2CAFA" w14:textId="7624F950" w:rsidR="00490B21" w:rsidRPr="009E2634" w:rsidRDefault="002C4E55" w:rsidP="009E2634">
      <w:pPr>
        <w:autoSpaceDE w:val="0"/>
        <w:autoSpaceDN w:val="0"/>
        <w:spacing w:before="240"/>
        <w:rPr>
          <w:b/>
          <w:bCs/>
        </w:rPr>
      </w:pPr>
      <w:r w:rsidRPr="009E2634">
        <w:t>The development of the Milton Road Site will provide high quality and energy efficient properties which will help to meet climate change reduction targets. It will also</w:t>
      </w:r>
      <w:r w:rsidR="00913159">
        <w:t xml:space="preserve"> include a small pocket part</w:t>
      </w:r>
      <w:r w:rsidRPr="009E2634">
        <w:t xml:space="preserve"> </w:t>
      </w:r>
      <w:r w:rsidR="00913159">
        <w:t xml:space="preserve">to </w:t>
      </w:r>
      <w:r w:rsidRPr="009E2634">
        <w:t xml:space="preserve">support improved biodiversity </w:t>
      </w:r>
      <w:r w:rsidR="00FF3C5C">
        <w:t xml:space="preserve">It will be a car free scheme given its excellent </w:t>
      </w:r>
      <w:r w:rsidR="00172CE5">
        <w:t xml:space="preserve">proximity to </w:t>
      </w:r>
      <w:r w:rsidRPr="009E2634">
        <w:t>public transport</w:t>
      </w:r>
      <w:r w:rsidR="00841CB2">
        <w:t>.</w:t>
      </w:r>
      <w:r w:rsidRPr="009E2634">
        <w:t xml:space="preserve">  </w:t>
      </w:r>
    </w:p>
    <w:p w14:paraId="3B546FEA" w14:textId="037D77F7" w:rsidR="00D07F46" w:rsidRPr="00841CB2" w:rsidRDefault="00D0381E" w:rsidP="000B7C66">
      <w:pPr>
        <w:pStyle w:val="ListParagraph"/>
        <w:numPr>
          <w:ilvl w:val="0"/>
          <w:numId w:val="40"/>
        </w:numPr>
        <w:autoSpaceDE w:val="0"/>
        <w:autoSpaceDN w:val="0"/>
        <w:spacing w:before="240"/>
        <w:rPr>
          <w:b/>
          <w:bCs/>
        </w:rPr>
      </w:pPr>
      <w:r w:rsidRPr="00D0381E">
        <w:rPr>
          <w:b/>
        </w:rPr>
        <w:t>Tackling poverty and inequality</w:t>
      </w:r>
    </w:p>
    <w:p w14:paraId="7F6FE29E" w14:textId="63A5F9A7" w:rsidR="00841CB2" w:rsidRPr="009E2634" w:rsidRDefault="00841CB2" w:rsidP="009E2634">
      <w:pPr>
        <w:autoSpaceDE w:val="0"/>
        <w:autoSpaceDN w:val="0"/>
        <w:spacing w:before="240"/>
        <w:rPr>
          <w:b/>
          <w:bCs/>
        </w:rPr>
      </w:pPr>
      <w:r>
        <w:rPr>
          <w:rStyle w:val="normaltextrun"/>
          <w:rFonts w:cs="Arial"/>
          <w:szCs w:val="24"/>
        </w:rPr>
        <w:t xml:space="preserve">It will provide genuinely affordable </w:t>
      </w:r>
      <w:proofErr w:type="gramStart"/>
      <w:r>
        <w:rPr>
          <w:rStyle w:val="normaltextrun"/>
          <w:rFonts w:cs="Arial"/>
          <w:szCs w:val="24"/>
        </w:rPr>
        <w:t>housing</w:t>
      </w:r>
      <w:proofErr w:type="gramEnd"/>
      <w:r>
        <w:rPr>
          <w:rStyle w:val="normaltextrun"/>
          <w:rFonts w:cs="Arial"/>
          <w:szCs w:val="24"/>
        </w:rPr>
        <w:t xml:space="preserve"> which is of high quality, enable good jobs being created through construction work, including apprenticeships for local people</w:t>
      </w:r>
    </w:p>
    <w:p w14:paraId="31563814" w14:textId="39C0551E" w:rsidR="00D07F46" w:rsidRPr="00847180" w:rsidRDefault="00D0381E" w:rsidP="000B7C66">
      <w:pPr>
        <w:pStyle w:val="ListParagraph"/>
        <w:numPr>
          <w:ilvl w:val="0"/>
          <w:numId w:val="40"/>
        </w:numPr>
        <w:autoSpaceDE w:val="0"/>
        <w:autoSpaceDN w:val="0"/>
        <w:spacing w:before="240"/>
        <w:rPr>
          <w:b/>
          <w:bCs/>
        </w:rPr>
      </w:pPr>
      <w:r w:rsidRPr="00D0381E">
        <w:rPr>
          <w:b/>
        </w:rPr>
        <w:t>Building homes and infrastructure</w:t>
      </w:r>
    </w:p>
    <w:p w14:paraId="4D1FB3B7" w14:textId="77777777" w:rsidR="00904F8F" w:rsidRDefault="00904F8F" w:rsidP="009E2634">
      <w:pPr>
        <w:pStyle w:val="paragraph"/>
        <w:spacing w:before="0" w:beforeAutospacing="0" w:after="0" w:afterAutospacing="0"/>
        <w:textAlignment w:val="baseline"/>
        <w:rPr>
          <w:rStyle w:val="normaltextrun"/>
          <w:rFonts w:ascii="Arial" w:hAnsi="Arial" w:cs="Arial"/>
          <w:sz w:val="24"/>
          <w:szCs w:val="24"/>
        </w:rPr>
      </w:pPr>
    </w:p>
    <w:p w14:paraId="2FF73531" w14:textId="556CE1CF" w:rsidR="00847180" w:rsidRDefault="00847180" w:rsidP="009E263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4"/>
          <w:szCs w:val="24"/>
        </w:rPr>
        <w:t xml:space="preserve">The scheme will deliver additional new housing </w:t>
      </w:r>
      <w:r>
        <w:rPr>
          <w:rStyle w:val="eop"/>
          <w:rFonts w:ascii="Arial" w:hAnsi="Arial" w:cs="Arial"/>
          <w:sz w:val="24"/>
          <w:szCs w:val="24"/>
        </w:rPr>
        <w:t> </w:t>
      </w:r>
    </w:p>
    <w:p w14:paraId="53B22976" w14:textId="17AE2850" w:rsidR="00D07F46" w:rsidRDefault="00D0381E" w:rsidP="000B7C66">
      <w:pPr>
        <w:pStyle w:val="ListParagraph"/>
        <w:numPr>
          <w:ilvl w:val="0"/>
          <w:numId w:val="40"/>
        </w:numPr>
        <w:autoSpaceDE w:val="0"/>
        <w:autoSpaceDN w:val="0"/>
        <w:spacing w:before="240"/>
        <w:rPr>
          <w:b/>
        </w:rPr>
      </w:pPr>
      <w:r w:rsidRPr="00D0381E">
        <w:rPr>
          <w:b/>
        </w:rPr>
        <w:t>Addressing health and social care inequality</w:t>
      </w:r>
    </w:p>
    <w:p w14:paraId="0F4D54A4" w14:textId="6E7715CE" w:rsidR="006A02BC" w:rsidRPr="006A02BC" w:rsidRDefault="006A02BC" w:rsidP="009E2634">
      <w:pPr>
        <w:autoSpaceDE w:val="0"/>
        <w:autoSpaceDN w:val="0"/>
        <w:spacing w:before="240"/>
        <w:rPr>
          <w:bCs/>
        </w:rPr>
      </w:pPr>
      <w:r>
        <w:rPr>
          <w:bCs/>
        </w:rPr>
        <w:t>The scheme includes 2 x wheelchair accessible affordable flats for rent</w:t>
      </w:r>
      <w:r w:rsidR="00D05A46">
        <w:rPr>
          <w:bCs/>
        </w:rPr>
        <w:t>.</w:t>
      </w:r>
    </w:p>
    <w:p w14:paraId="74ED77AB" w14:textId="337E7D28" w:rsidR="00307F76" w:rsidRDefault="00D0381E" w:rsidP="000B7C66">
      <w:pPr>
        <w:pStyle w:val="ListParagraph"/>
        <w:numPr>
          <w:ilvl w:val="0"/>
          <w:numId w:val="40"/>
        </w:numPr>
        <w:autoSpaceDE w:val="0"/>
        <w:autoSpaceDN w:val="0"/>
        <w:spacing w:before="240"/>
        <w:rPr>
          <w:b/>
        </w:rPr>
      </w:pPr>
      <w:r w:rsidRPr="00D0381E">
        <w:rPr>
          <w:b/>
        </w:rPr>
        <w:t>Thriving economy</w:t>
      </w:r>
    </w:p>
    <w:p w14:paraId="558D6EC8" w14:textId="37C4845B" w:rsidR="00DD165E" w:rsidRDefault="00DD165E" w:rsidP="002151C5">
      <w:pPr>
        <w:pStyle w:val="paragraph"/>
        <w:spacing w:before="0" w:beforeAutospacing="0" w:after="0" w:afterAutospacing="0"/>
        <w:textAlignment w:val="baseline"/>
        <w:rPr>
          <w:rStyle w:val="eop"/>
          <w:rFonts w:ascii="Arial" w:hAnsi="Arial" w:cs="Arial"/>
          <w:sz w:val="24"/>
          <w:szCs w:val="24"/>
        </w:rPr>
      </w:pPr>
      <w:r>
        <w:rPr>
          <w:rStyle w:val="normaltextrun"/>
          <w:rFonts w:ascii="Arial" w:hAnsi="Arial" w:cs="Arial"/>
          <w:sz w:val="24"/>
          <w:szCs w:val="24"/>
        </w:rPr>
        <w:t xml:space="preserve">It will contribute to this priority by offering opportunities for </w:t>
      </w:r>
      <w:proofErr w:type="gramStart"/>
      <w:r>
        <w:rPr>
          <w:rStyle w:val="normaltextrun"/>
          <w:rFonts w:ascii="Arial" w:hAnsi="Arial" w:cs="Arial"/>
          <w:sz w:val="24"/>
          <w:szCs w:val="24"/>
        </w:rPr>
        <w:t>work, and</w:t>
      </w:r>
      <w:proofErr w:type="gramEnd"/>
      <w:r>
        <w:rPr>
          <w:rStyle w:val="normaltextrun"/>
          <w:rFonts w:ascii="Arial" w:hAnsi="Arial" w:cs="Arial"/>
          <w:sz w:val="24"/>
          <w:szCs w:val="24"/>
        </w:rPr>
        <w:t xml:space="preserve"> enable income from those living in the additional new homes to be spent in the local </w:t>
      </w:r>
      <w:r>
        <w:rPr>
          <w:rStyle w:val="normaltextrun"/>
          <w:rFonts w:ascii="Arial" w:hAnsi="Arial" w:cs="Arial"/>
          <w:sz w:val="24"/>
          <w:szCs w:val="24"/>
        </w:rPr>
        <w:lastRenderedPageBreak/>
        <w:t>Harrow economy, thus generating more jobs and supporting the circular economy</w:t>
      </w:r>
      <w:r>
        <w:rPr>
          <w:rStyle w:val="normaltextrun"/>
          <w:rFonts w:ascii="Arial" w:hAnsi="Arial" w:cs="Arial"/>
          <w:b/>
          <w:bCs/>
          <w:sz w:val="24"/>
          <w:szCs w:val="24"/>
        </w:rPr>
        <w:t>.</w:t>
      </w:r>
      <w:r>
        <w:rPr>
          <w:rStyle w:val="eop"/>
          <w:rFonts w:ascii="Arial" w:hAnsi="Arial" w:cs="Arial"/>
          <w:sz w:val="24"/>
          <w:szCs w:val="24"/>
        </w:rPr>
        <w:t> </w:t>
      </w:r>
    </w:p>
    <w:p w14:paraId="09165E9E" w14:textId="3A3898C8" w:rsidR="00D862BD" w:rsidRDefault="00D862BD" w:rsidP="002151C5">
      <w:pPr>
        <w:pStyle w:val="paragraph"/>
        <w:spacing w:before="0" w:beforeAutospacing="0" w:after="0" w:afterAutospacing="0"/>
        <w:textAlignment w:val="baseline"/>
        <w:rPr>
          <w:rStyle w:val="eop"/>
          <w:rFonts w:ascii="Arial" w:hAnsi="Arial" w:cs="Arial"/>
          <w:sz w:val="24"/>
          <w:szCs w:val="24"/>
        </w:rPr>
      </w:pPr>
    </w:p>
    <w:p w14:paraId="284A1224" w14:textId="3CA6AE9E" w:rsidR="00D862BD" w:rsidRDefault="00D862BD" w:rsidP="002151C5">
      <w:pPr>
        <w:pStyle w:val="paragraph"/>
        <w:spacing w:before="0" w:beforeAutospacing="0" w:after="0" w:afterAutospacing="0"/>
        <w:textAlignment w:val="baseline"/>
        <w:rPr>
          <w:rStyle w:val="eop"/>
          <w:rFonts w:ascii="Arial" w:hAnsi="Arial" w:cs="Arial"/>
          <w:sz w:val="24"/>
          <w:szCs w:val="24"/>
        </w:rPr>
      </w:pPr>
    </w:p>
    <w:p w14:paraId="6185BE6F" w14:textId="77777777" w:rsidR="00D862BD" w:rsidRDefault="00D862BD" w:rsidP="002151C5">
      <w:pPr>
        <w:pStyle w:val="paragraph"/>
        <w:spacing w:before="0" w:beforeAutospacing="0" w:after="0" w:afterAutospacing="0"/>
        <w:textAlignment w:val="baseline"/>
        <w:rPr>
          <w:rStyle w:val="eop"/>
          <w:rFonts w:ascii="Arial" w:hAnsi="Arial" w:cs="Times New Roman"/>
          <w:sz w:val="24"/>
          <w:szCs w:val="20"/>
          <w:lang w:eastAsia="en-US"/>
        </w:rPr>
      </w:pPr>
    </w:p>
    <w:p w14:paraId="5514D939" w14:textId="77777777" w:rsidR="00333FAA" w:rsidRDefault="00333FAA" w:rsidP="000B7C66">
      <w:pPr>
        <w:pStyle w:val="Heading2"/>
        <w:spacing w:before="480" w:after="240"/>
      </w:pPr>
      <w:r>
        <w:t>Section 3 - Statutory Officer Clearance</w:t>
      </w:r>
    </w:p>
    <w:p w14:paraId="3B5D52F9" w14:textId="20CC581C" w:rsidR="00A66326" w:rsidRPr="00A66326" w:rsidRDefault="00A66326" w:rsidP="00A66326">
      <w:pPr>
        <w:rPr>
          <w:sz w:val="28"/>
        </w:rPr>
      </w:pPr>
      <w:r w:rsidRPr="00A66326">
        <w:rPr>
          <w:b/>
          <w:sz w:val="28"/>
        </w:rPr>
        <w:t xml:space="preserve">Statutory Officer:  </w:t>
      </w:r>
      <w:r w:rsidR="00904F8F">
        <w:rPr>
          <w:b/>
          <w:sz w:val="28"/>
        </w:rPr>
        <w:t>Dawn Calvert</w:t>
      </w:r>
    </w:p>
    <w:p w14:paraId="06450070" w14:textId="1A129D4C" w:rsidR="00A66326" w:rsidRPr="00A66326" w:rsidRDefault="00A66326" w:rsidP="00A66326">
      <w:r w:rsidRPr="00A66326">
        <w:t>Signed by the Chief Financial Officer</w:t>
      </w:r>
    </w:p>
    <w:p w14:paraId="555021EF" w14:textId="180A3F93" w:rsidR="00A66326" w:rsidRPr="00D862BD" w:rsidRDefault="00A66326" w:rsidP="00A66326">
      <w:pPr>
        <w:spacing w:after="480"/>
        <w:rPr>
          <w:bCs/>
          <w:szCs w:val="18"/>
        </w:rPr>
      </w:pPr>
      <w:r w:rsidRPr="00D862BD">
        <w:rPr>
          <w:bCs/>
          <w:szCs w:val="18"/>
        </w:rPr>
        <w:t>Date:</w:t>
      </w:r>
      <w:r w:rsidR="00904F8F" w:rsidRPr="00D862BD">
        <w:rPr>
          <w:bCs/>
          <w:szCs w:val="18"/>
        </w:rPr>
        <w:t xml:space="preserve"> 10</w:t>
      </w:r>
      <w:r w:rsidR="00FF10CB" w:rsidRPr="00D862BD">
        <w:rPr>
          <w:bCs/>
          <w:szCs w:val="18"/>
        </w:rPr>
        <w:t>/11/21</w:t>
      </w:r>
      <w:r w:rsidRPr="00D862BD">
        <w:rPr>
          <w:bCs/>
          <w:szCs w:val="18"/>
        </w:rPr>
        <w:t xml:space="preserve">  </w:t>
      </w:r>
    </w:p>
    <w:p w14:paraId="7E329E85" w14:textId="5055B9AB" w:rsidR="00A66326" w:rsidRPr="00A66326" w:rsidRDefault="00A66326" w:rsidP="00A66326">
      <w:pPr>
        <w:rPr>
          <w:sz w:val="28"/>
        </w:rPr>
      </w:pPr>
      <w:r w:rsidRPr="00A66326">
        <w:rPr>
          <w:b/>
          <w:sz w:val="28"/>
        </w:rPr>
        <w:t xml:space="preserve">Statutory Officer:  </w:t>
      </w:r>
      <w:r w:rsidR="00FF10CB">
        <w:rPr>
          <w:b/>
          <w:sz w:val="28"/>
        </w:rPr>
        <w:t>Matthew Dineen</w:t>
      </w:r>
    </w:p>
    <w:p w14:paraId="76F84634" w14:textId="62E79CC3" w:rsidR="00A66326" w:rsidRPr="00A66326" w:rsidRDefault="00A66326" w:rsidP="00A66326">
      <w:r w:rsidRPr="00A66326">
        <w:t>Signed on behalf of the Monitoring Officer</w:t>
      </w:r>
    </w:p>
    <w:p w14:paraId="1AC0D358" w14:textId="294C7DD5" w:rsidR="00A66326" w:rsidRPr="00D862BD" w:rsidRDefault="00A66326" w:rsidP="00A66326">
      <w:pPr>
        <w:spacing w:after="480"/>
        <w:rPr>
          <w:bCs/>
          <w:szCs w:val="18"/>
        </w:rPr>
      </w:pPr>
      <w:r w:rsidRPr="00D862BD">
        <w:rPr>
          <w:bCs/>
          <w:szCs w:val="18"/>
        </w:rPr>
        <w:t xml:space="preserve">Date:  </w:t>
      </w:r>
      <w:r w:rsidR="00FF10CB" w:rsidRPr="00D862BD">
        <w:rPr>
          <w:bCs/>
          <w:szCs w:val="18"/>
        </w:rPr>
        <w:t>10/11/21</w:t>
      </w:r>
    </w:p>
    <w:p w14:paraId="72788CD7" w14:textId="0E80220C" w:rsidR="00A66326" w:rsidRPr="003313EA" w:rsidRDefault="00A66326" w:rsidP="00A66326">
      <w:pPr>
        <w:rPr>
          <w:sz w:val="28"/>
        </w:rPr>
      </w:pPr>
      <w:r w:rsidRPr="00A66326">
        <w:rPr>
          <w:b/>
          <w:sz w:val="28"/>
        </w:rPr>
        <w:t xml:space="preserve">Statutory Officer:  </w:t>
      </w:r>
      <w:r w:rsidR="00FF10CB">
        <w:rPr>
          <w:b/>
          <w:sz w:val="28"/>
        </w:rPr>
        <w:t>Nimesh Me</w:t>
      </w:r>
      <w:r w:rsidR="00F22A1A">
        <w:rPr>
          <w:b/>
          <w:sz w:val="28"/>
        </w:rPr>
        <w:t>hta</w:t>
      </w:r>
    </w:p>
    <w:p w14:paraId="15C004F3" w14:textId="5F61C176" w:rsidR="00A66326" w:rsidRPr="003313EA" w:rsidRDefault="00A66326" w:rsidP="00A66326">
      <w:r w:rsidRPr="003313EA">
        <w:t>Signed by the Head of Procurement</w:t>
      </w:r>
    </w:p>
    <w:p w14:paraId="7C58F35B" w14:textId="7FC60CB2" w:rsidR="00A66326" w:rsidRPr="00D862BD" w:rsidRDefault="00A66326" w:rsidP="00A66326">
      <w:pPr>
        <w:spacing w:after="480"/>
        <w:rPr>
          <w:bCs/>
          <w:szCs w:val="18"/>
        </w:rPr>
      </w:pPr>
      <w:r w:rsidRPr="00D862BD">
        <w:rPr>
          <w:bCs/>
          <w:szCs w:val="18"/>
        </w:rPr>
        <w:t xml:space="preserve">Date:  </w:t>
      </w:r>
      <w:r w:rsidR="00F22A1A" w:rsidRPr="00D862BD">
        <w:rPr>
          <w:bCs/>
          <w:szCs w:val="18"/>
        </w:rPr>
        <w:t>10/11/21</w:t>
      </w:r>
    </w:p>
    <w:p w14:paraId="7B7CECF4" w14:textId="06852125" w:rsidR="00A66326" w:rsidRPr="00A66326" w:rsidRDefault="00A66326" w:rsidP="00A66326">
      <w:pPr>
        <w:rPr>
          <w:sz w:val="28"/>
        </w:rPr>
      </w:pPr>
      <w:r w:rsidRPr="00A66326">
        <w:rPr>
          <w:b/>
          <w:sz w:val="28"/>
        </w:rPr>
        <w:t xml:space="preserve">Statutory Officer:  </w:t>
      </w:r>
      <w:r w:rsidR="00F22A1A">
        <w:rPr>
          <w:b/>
          <w:sz w:val="28"/>
        </w:rPr>
        <w:t>Dipti Patel</w:t>
      </w:r>
    </w:p>
    <w:p w14:paraId="029B596F" w14:textId="77777777" w:rsidR="00A66326" w:rsidRPr="00A66326" w:rsidRDefault="00F51E01" w:rsidP="00A66326">
      <w:r>
        <w:t>Signed</w:t>
      </w:r>
      <w:r w:rsidR="00A66326" w:rsidRPr="00A66326">
        <w:t xml:space="preserve"> by the Corporate Director</w:t>
      </w:r>
    </w:p>
    <w:p w14:paraId="74DFB7F8" w14:textId="545FB203" w:rsidR="00A66326" w:rsidRPr="00D862BD" w:rsidRDefault="00A66326" w:rsidP="00A66326">
      <w:pPr>
        <w:spacing w:after="480"/>
        <w:rPr>
          <w:bCs/>
          <w:szCs w:val="18"/>
        </w:rPr>
      </w:pPr>
      <w:r w:rsidRPr="00D862BD">
        <w:rPr>
          <w:bCs/>
          <w:szCs w:val="18"/>
        </w:rPr>
        <w:t xml:space="preserve">Date:  </w:t>
      </w:r>
      <w:r w:rsidR="00F22A1A" w:rsidRPr="00D862BD">
        <w:rPr>
          <w:bCs/>
          <w:szCs w:val="18"/>
        </w:rPr>
        <w:t>10/11/21</w:t>
      </w:r>
    </w:p>
    <w:p w14:paraId="67BBAB33" w14:textId="577E8802" w:rsidR="00506185" w:rsidRPr="00A66326" w:rsidRDefault="00506185" w:rsidP="00506185">
      <w:pPr>
        <w:rPr>
          <w:sz w:val="28"/>
        </w:rPr>
      </w:pPr>
      <w:r w:rsidRPr="00A66326">
        <w:rPr>
          <w:b/>
          <w:sz w:val="28"/>
        </w:rPr>
        <w:t xml:space="preserve">Statutory Officer:  </w:t>
      </w:r>
      <w:r w:rsidR="002A7973">
        <w:rPr>
          <w:b/>
          <w:sz w:val="28"/>
        </w:rPr>
        <w:t xml:space="preserve">Susan Dixon </w:t>
      </w:r>
    </w:p>
    <w:p w14:paraId="1A54F52A" w14:textId="4CDB2614" w:rsidR="00506185" w:rsidRPr="003313EA" w:rsidRDefault="00506185" w:rsidP="00506185">
      <w:r w:rsidRPr="003313EA">
        <w:t xml:space="preserve">Signed by the Head of </w:t>
      </w:r>
      <w:r>
        <w:t>Internal Audit</w:t>
      </w:r>
    </w:p>
    <w:p w14:paraId="069350BA" w14:textId="26E4DD60" w:rsidR="00506185" w:rsidRPr="00D862BD" w:rsidRDefault="00506185" w:rsidP="00506185">
      <w:pPr>
        <w:spacing w:after="480"/>
        <w:rPr>
          <w:bCs/>
          <w:szCs w:val="18"/>
        </w:rPr>
      </w:pPr>
      <w:r w:rsidRPr="00D862BD">
        <w:rPr>
          <w:bCs/>
          <w:szCs w:val="18"/>
        </w:rPr>
        <w:t xml:space="preserve">Date:  </w:t>
      </w:r>
      <w:r w:rsidR="002A7973" w:rsidRPr="00D862BD">
        <w:rPr>
          <w:bCs/>
          <w:szCs w:val="18"/>
        </w:rPr>
        <w:t>8/11/21</w:t>
      </w:r>
    </w:p>
    <w:p w14:paraId="45A19EC7" w14:textId="77777777" w:rsidR="003313EA" w:rsidRPr="00435B5D" w:rsidRDefault="003313EA" w:rsidP="003313EA">
      <w:pPr>
        <w:pStyle w:val="Heading2"/>
        <w:spacing w:after="240"/>
      </w:pPr>
      <w:r>
        <w:t>Mandatory Checks</w:t>
      </w:r>
    </w:p>
    <w:p w14:paraId="64551188" w14:textId="46CFF53B" w:rsidR="003313EA" w:rsidRPr="00A406F3" w:rsidRDefault="003313EA" w:rsidP="003313EA">
      <w:pPr>
        <w:pStyle w:val="Heading3"/>
        <w:ind w:left="0" w:firstLine="0"/>
        <w:jc w:val="left"/>
      </w:pPr>
      <w:r w:rsidRPr="003313EA">
        <w:t xml:space="preserve">Ward Councillors </w:t>
      </w:r>
      <w:r>
        <w:t xml:space="preserve">notified:  </w:t>
      </w:r>
      <w:r w:rsidRPr="00A406F3">
        <w:t xml:space="preserve">YES </w:t>
      </w:r>
    </w:p>
    <w:p w14:paraId="2E8E750F" w14:textId="18A5DF3D" w:rsidR="003313EA" w:rsidRPr="003313EA" w:rsidRDefault="003313EA" w:rsidP="00A53B04">
      <w:pPr>
        <w:pStyle w:val="Infotext"/>
        <w:rPr>
          <w:i/>
          <w:color w:val="FF0000"/>
          <w:sz w:val="24"/>
          <w:szCs w:val="24"/>
        </w:rPr>
      </w:pPr>
      <w:r w:rsidRPr="003313EA">
        <w:rPr>
          <w:i/>
          <w:color w:val="FF0000"/>
          <w:sz w:val="24"/>
          <w:szCs w:val="24"/>
        </w:rPr>
        <w:t xml:space="preserve"> </w:t>
      </w:r>
    </w:p>
    <w:p w14:paraId="2A2D9472" w14:textId="6A75C904"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31A4A4A5" w14:textId="196A0B97" w:rsidR="003313EA" w:rsidRPr="003313EA" w:rsidRDefault="003313EA" w:rsidP="003313EA">
      <w:pPr>
        <w:pStyle w:val="Infotext"/>
        <w:rPr>
          <w:i/>
          <w:color w:val="FF0000"/>
          <w:sz w:val="24"/>
          <w:szCs w:val="24"/>
        </w:rPr>
      </w:pPr>
      <w:r w:rsidRPr="003313EA">
        <w:rPr>
          <w:i/>
          <w:color w:val="FF0000"/>
          <w:sz w:val="24"/>
          <w:szCs w:val="24"/>
        </w:rPr>
        <w:t xml:space="preserve">. </w:t>
      </w:r>
    </w:p>
    <w:p w14:paraId="75E435F5" w14:textId="43AD9909" w:rsidR="009237A6" w:rsidRDefault="00AF0459" w:rsidP="003313EA">
      <w:pPr>
        <w:pStyle w:val="Infotext"/>
        <w:rPr>
          <w:iCs/>
        </w:rPr>
      </w:pPr>
      <w:r>
        <w:t xml:space="preserve">See Equalities Implications section. </w:t>
      </w:r>
      <w:r w:rsidR="00FB569A">
        <w:t xml:space="preserve">A full </w:t>
      </w:r>
      <w:proofErr w:type="spellStart"/>
      <w:r w:rsidR="00FB569A">
        <w:t>EqIA</w:t>
      </w:r>
      <w:proofErr w:type="spellEnd"/>
      <w:r w:rsidR="00FB569A">
        <w:t xml:space="preserve"> will be completed with t</w:t>
      </w:r>
      <w:r w:rsidR="003F5655" w:rsidRPr="003F2301">
        <w:rPr>
          <w:iCs/>
        </w:rPr>
        <w:t>he Poets Corner Business Plan</w:t>
      </w:r>
      <w:r w:rsidR="00A7079E">
        <w:rPr>
          <w:iCs/>
        </w:rPr>
        <w:t xml:space="preserve"> and</w:t>
      </w:r>
      <w:r w:rsidR="003F5655" w:rsidRPr="003F2301">
        <w:rPr>
          <w:iCs/>
        </w:rPr>
        <w:t xml:space="preserve"> is intended to be brought to Cabinet in February 2022 and </w:t>
      </w:r>
      <w:r w:rsidR="00A7079E">
        <w:rPr>
          <w:iCs/>
        </w:rPr>
        <w:t>the Milton Road</w:t>
      </w:r>
      <w:r w:rsidR="003F5655" w:rsidRPr="003F2301">
        <w:rPr>
          <w:iCs/>
        </w:rPr>
        <w:t xml:space="preserve"> scheme will be included in the detailed consideration of the implications of that site.</w:t>
      </w:r>
    </w:p>
    <w:p w14:paraId="75D4CE66" w14:textId="77777777" w:rsidR="00D862BD" w:rsidRPr="00202D79" w:rsidRDefault="00D862BD" w:rsidP="003313EA">
      <w:pPr>
        <w:pStyle w:val="Infotext"/>
      </w:pPr>
    </w:p>
    <w:p w14:paraId="6B589F3A" w14:textId="34EC24F8" w:rsidR="003313EA" w:rsidRPr="00303FD6" w:rsidRDefault="003313EA" w:rsidP="002151C5">
      <w:pPr>
        <w:pStyle w:val="Infotext"/>
        <w:rPr>
          <w:color w:val="FF0000"/>
        </w:rPr>
      </w:pPr>
      <w:proofErr w:type="spellStart"/>
      <w:r w:rsidRPr="00D862BD">
        <w:rPr>
          <w:b/>
          <w:bCs/>
        </w:rPr>
        <w:t>EqIA</w:t>
      </w:r>
      <w:proofErr w:type="spellEnd"/>
      <w:r w:rsidRPr="00D862BD">
        <w:rPr>
          <w:b/>
          <w:bCs/>
        </w:rPr>
        <w:t xml:space="preserve"> cleared by</w:t>
      </w:r>
      <w:r w:rsidRPr="00202D79">
        <w:t>:</w:t>
      </w:r>
      <w:r>
        <w:t xml:space="preserve">  </w:t>
      </w:r>
      <w:r w:rsidR="009237A6">
        <w:t>N/A</w:t>
      </w:r>
    </w:p>
    <w:p w14:paraId="41E16C55" w14:textId="77777777"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0005C0E4" w14:textId="48D5B799" w:rsidR="00333FAA" w:rsidRPr="005808FB" w:rsidRDefault="00333FAA" w:rsidP="00CC18AC">
      <w:pPr>
        <w:pStyle w:val="Infotext"/>
        <w:spacing w:after="240"/>
        <w:rPr>
          <w:color w:val="FF0000"/>
        </w:rPr>
      </w:pPr>
      <w:r w:rsidRPr="004E47FC">
        <w:rPr>
          <w:b/>
        </w:rPr>
        <w:t xml:space="preserve">Contact:  </w:t>
      </w:r>
      <w:r w:rsidR="00EE0179" w:rsidRPr="008036A6">
        <w:t>Julian Wain</w:t>
      </w:r>
      <w:r w:rsidR="00DD6AED" w:rsidRPr="008036A6">
        <w:t xml:space="preserve">, </w:t>
      </w:r>
      <w:r w:rsidR="00F9737F" w:rsidRPr="008036A6">
        <w:t xml:space="preserve">Interim Commercial Director, </w:t>
      </w:r>
      <w:r w:rsidR="00D862BD">
        <w:t xml:space="preserve">tel. </w:t>
      </w:r>
      <w:r w:rsidR="00A73433" w:rsidRPr="008036A6">
        <w:t>02087366149</w:t>
      </w:r>
      <w:r w:rsidR="001C06CA" w:rsidRPr="008036A6">
        <w:t xml:space="preserve">, </w:t>
      </w:r>
      <w:hyperlink r:id="rId13" w:history="1">
        <w:r w:rsidR="00D862BD" w:rsidRPr="001B15C1">
          <w:rPr>
            <w:rStyle w:val="Hyperlink"/>
          </w:rPr>
          <w:t>julian.wain@harrow.gov.uk</w:t>
        </w:r>
      </w:hyperlink>
      <w:r w:rsidR="00D862BD">
        <w:rPr>
          <w:rStyle w:val="Hyperlink"/>
          <w:color w:val="auto"/>
          <w:u w:val="none"/>
        </w:rPr>
        <w:t xml:space="preserve"> </w:t>
      </w:r>
      <w:r w:rsidR="001C06CA">
        <w:t xml:space="preserve"> </w:t>
      </w:r>
    </w:p>
    <w:p w14:paraId="77C58D4B" w14:textId="00CB096C" w:rsidR="00333FAA" w:rsidRDefault="00333FAA" w:rsidP="00CC18AC">
      <w:pPr>
        <w:pStyle w:val="Infotext"/>
        <w:spacing w:after="240"/>
        <w:rPr>
          <w:b/>
        </w:rPr>
      </w:pPr>
      <w:r w:rsidRPr="004E47FC">
        <w:rPr>
          <w:b/>
        </w:rPr>
        <w:t xml:space="preserve">Background Papers: </w:t>
      </w:r>
      <w:r w:rsidR="005808FB">
        <w:rPr>
          <w:b/>
        </w:rPr>
        <w:t xml:space="preserve"> </w:t>
      </w:r>
      <w:r w:rsidR="00D862BD" w:rsidRPr="00D862BD">
        <w:rPr>
          <w:bCs/>
        </w:rPr>
        <w:t>None</w:t>
      </w:r>
    </w:p>
    <w:p w14:paraId="7C8FEB52" w14:textId="7ED17AD9"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D862BD">
        <w:rPr>
          <w:rFonts w:ascii="Arial Black" w:hAnsi="Arial Black"/>
        </w:rPr>
        <w:t xml:space="preserve"> </w:t>
      </w:r>
    </w:p>
    <w:p w14:paraId="17CDBD67" w14:textId="7D95325B" w:rsidR="00842757" w:rsidRDefault="00842757" w:rsidP="00842757">
      <w:pPr>
        <w:pStyle w:val="Infotext"/>
        <w:spacing w:before="240"/>
      </w:pPr>
      <w:r w:rsidRPr="003D78F6">
        <w:rPr>
          <w:b/>
        </w:rPr>
        <w:t xml:space="preserve">NO </w:t>
      </w:r>
    </w:p>
    <w:sectPr w:rsidR="00842757"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CB8E" w16cex:dateUtc="2021-11-05T15:26:00Z"/>
  <w16cex:commentExtensible w16cex:durableId="252FD0B4" w16cex:dateUtc="2021-11-05T15:48:00Z"/>
  <w16cex:commentExtensible w16cex:durableId="252FCC70" w16cex:dateUtc="2021-11-05T15:29:00Z"/>
  <w16cex:commentExtensible w16cex:durableId="252FCD0B" w16cex:dateUtc="2021-11-05T15:32:00Z"/>
  <w16cex:commentExtensible w16cex:durableId="252FCD23" w16cex:dateUtc="2021-11-05T15:32:00Z"/>
  <w16cex:commentExtensible w16cex:durableId="252FCD66" w16cex:dateUtc="2021-11-05T15:33:00Z"/>
  <w16cex:commentExtensible w16cex:durableId="252FCFCB" w16cex:dateUtc="2021-11-05T15:44:00Z"/>
  <w16cex:commentExtensible w16cex:durableId="252FCFFA" w16cex:dateUtc="2021-11-05T15:44:00Z"/>
  <w16cex:commentExtensible w16cex:durableId="252FC4CE" w16cex:dateUtc="2021-11-05T14:57:00Z"/>
  <w16cex:commentExtensible w16cex:durableId="252FD0F0" w16cex:dateUtc="2021-11-05T15:49:00Z"/>
  <w16cex:commentExtensible w16cex:durableId="252FC531" w16cex:dateUtc="2021-11-05T14:58:00Z"/>
  <w16cex:commentExtensible w16cex:durableId="252FC5C5" w16cex:dateUtc="2021-11-05T15:01:00Z"/>
  <w16cex:commentExtensible w16cex:durableId="252FC601" w16cex:dateUtc="2021-11-05T15:02:00Z"/>
  <w16cex:commentExtensible w16cex:durableId="252FC694" w16cex:dateUtc="2021-11-05T15:04:00Z"/>
  <w16cex:commentExtensible w16cex:durableId="252FC779" w16cex:dateUtc="2021-11-05T15: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2F41F" w14:textId="77777777" w:rsidR="0072680A" w:rsidRDefault="0072680A">
      <w:r>
        <w:separator/>
      </w:r>
    </w:p>
  </w:endnote>
  <w:endnote w:type="continuationSeparator" w:id="0">
    <w:p w14:paraId="7DA65C6A" w14:textId="77777777" w:rsidR="0072680A" w:rsidRDefault="0072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0B515" w14:textId="77777777" w:rsidR="0072680A" w:rsidRDefault="0072680A">
      <w:r>
        <w:separator/>
      </w:r>
    </w:p>
  </w:footnote>
  <w:footnote w:type="continuationSeparator" w:id="0">
    <w:p w14:paraId="261E268F" w14:textId="77777777" w:rsidR="0072680A" w:rsidRDefault="00726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53677E2"/>
    <w:multiLevelType w:val="hybridMultilevel"/>
    <w:tmpl w:val="55BC90F0"/>
    <w:lvl w:ilvl="0" w:tplc="1EEE16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E1E24"/>
    <w:multiLevelType w:val="hybridMultilevel"/>
    <w:tmpl w:val="2778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01706B"/>
    <w:multiLevelType w:val="hybridMultilevel"/>
    <w:tmpl w:val="4178F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6E5A3924"/>
    <w:multiLevelType w:val="hybridMultilevel"/>
    <w:tmpl w:val="95D82C86"/>
    <w:lvl w:ilvl="0" w:tplc="9BDCBBDE">
      <w:start w:val="1"/>
      <w:numFmt w:val="bullet"/>
      <w:lvlText w:val=""/>
      <w:lvlJc w:val="left"/>
      <w:pPr>
        <w:ind w:left="720" w:hanging="360"/>
      </w:pPr>
      <w:rPr>
        <w:rFonts w:ascii="Symbol" w:hAnsi="Symbol" w:hint="default"/>
      </w:rPr>
    </w:lvl>
    <w:lvl w:ilvl="1" w:tplc="D2162ACA">
      <w:start w:val="1"/>
      <w:numFmt w:val="bullet"/>
      <w:lvlText w:val="o"/>
      <w:lvlJc w:val="left"/>
      <w:pPr>
        <w:ind w:left="1440" w:hanging="360"/>
      </w:pPr>
      <w:rPr>
        <w:rFonts w:ascii="Courier New" w:hAnsi="Courier New" w:cs="Times New Roman" w:hint="default"/>
      </w:rPr>
    </w:lvl>
    <w:lvl w:ilvl="2" w:tplc="FC04AB7C">
      <w:start w:val="1"/>
      <w:numFmt w:val="bullet"/>
      <w:lvlText w:val=""/>
      <w:lvlJc w:val="left"/>
      <w:pPr>
        <w:ind w:left="2160" w:hanging="360"/>
      </w:pPr>
      <w:rPr>
        <w:rFonts w:ascii="Wingdings" w:hAnsi="Wingdings" w:hint="default"/>
      </w:rPr>
    </w:lvl>
    <w:lvl w:ilvl="3" w:tplc="1FB81582">
      <w:start w:val="1"/>
      <w:numFmt w:val="bullet"/>
      <w:lvlText w:val=""/>
      <w:lvlJc w:val="left"/>
      <w:pPr>
        <w:ind w:left="2880" w:hanging="360"/>
      </w:pPr>
      <w:rPr>
        <w:rFonts w:ascii="Symbol" w:hAnsi="Symbol" w:hint="default"/>
      </w:rPr>
    </w:lvl>
    <w:lvl w:ilvl="4" w:tplc="8BB2A15C">
      <w:start w:val="1"/>
      <w:numFmt w:val="bullet"/>
      <w:lvlText w:val="o"/>
      <w:lvlJc w:val="left"/>
      <w:pPr>
        <w:ind w:left="3600" w:hanging="360"/>
      </w:pPr>
      <w:rPr>
        <w:rFonts w:ascii="Courier New" w:hAnsi="Courier New" w:cs="Times New Roman" w:hint="default"/>
      </w:rPr>
    </w:lvl>
    <w:lvl w:ilvl="5" w:tplc="EBA6DFBC">
      <w:start w:val="1"/>
      <w:numFmt w:val="bullet"/>
      <w:lvlText w:val=""/>
      <w:lvlJc w:val="left"/>
      <w:pPr>
        <w:ind w:left="4320" w:hanging="360"/>
      </w:pPr>
      <w:rPr>
        <w:rFonts w:ascii="Wingdings" w:hAnsi="Wingdings" w:hint="default"/>
      </w:rPr>
    </w:lvl>
    <w:lvl w:ilvl="6" w:tplc="E5022C62">
      <w:start w:val="1"/>
      <w:numFmt w:val="bullet"/>
      <w:lvlText w:val=""/>
      <w:lvlJc w:val="left"/>
      <w:pPr>
        <w:ind w:left="5040" w:hanging="360"/>
      </w:pPr>
      <w:rPr>
        <w:rFonts w:ascii="Symbol" w:hAnsi="Symbol" w:hint="default"/>
      </w:rPr>
    </w:lvl>
    <w:lvl w:ilvl="7" w:tplc="2DEE8B3C">
      <w:start w:val="1"/>
      <w:numFmt w:val="bullet"/>
      <w:lvlText w:val="o"/>
      <w:lvlJc w:val="left"/>
      <w:pPr>
        <w:ind w:left="5760" w:hanging="360"/>
      </w:pPr>
      <w:rPr>
        <w:rFonts w:ascii="Courier New" w:hAnsi="Courier New" w:cs="Times New Roman" w:hint="default"/>
      </w:rPr>
    </w:lvl>
    <w:lvl w:ilvl="8" w:tplc="EB9A3B5C">
      <w:start w:val="1"/>
      <w:numFmt w:val="bullet"/>
      <w:lvlText w:val=""/>
      <w:lvlJc w:val="left"/>
      <w:pPr>
        <w:ind w:left="6480" w:hanging="360"/>
      </w:pPr>
      <w:rPr>
        <w:rFonts w:ascii="Wingdings" w:hAnsi="Wingdings" w:hint="default"/>
      </w:rPr>
    </w:lvl>
  </w:abstractNum>
  <w:abstractNum w:abstractNumId="45"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1B02E7"/>
    <w:multiLevelType w:val="hybridMultilevel"/>
    <w:tmpl w:val="1278FC3C"/>
    <w:lvl w:ilvl="0" w:tplc="1F740646">
      <w:start w:val="3"/>
      <w:numFmt w:val="decimal"/>
      <w:lvlText w:val="%1."/>
      <w:lvlJc w:val="left"/>
      <w:pPr>
        <w:ind w:left="72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3"/>
  </w:num>
  <w:num w:numId="3">
    <w:abstractNumId w:val="17"/>
  </w:num>
  <w:num w:numId="4">
    <w:abstractNumId w:val="48"/>
  </w:num>
  <w:num w:numId="5">
    <w:abstractNumId w:val="42"/>
  </w:num>
  <w:num w:numId="6">
    <w:abstractNumId w:val="19"/>
  </w:num>
  <w:num w:numId="7">
    <w:abstractNumId w:val="1"/>
  </w:num>
  <w:num w:numId="8">
    <w:abstractNumId w:val="25"/>
  </w:num>
  <w:num w:numId="9">
    <w:abstractNumId w:val="26"/>
  </w:num>
  <w:num w:numId="10">
    <w:abstractNumId w:val="46"/>
  </w:num>
  <w:num w:numId="11">
    <w:abstractNumId w:val="14"/>
  </w:num>
  <w:num w:numId="12">
    <w:abstractNumId w:val="23"/>
  </w:num>
  <w:num w:numId="13">
    <w:abstractNumId w:val="24"/>
  </w:num>
  <w:num w:numId="14">
    <w:abstractNumId w:val="15"/>
  </w:num>
  <w:num w:numId="15">
    <w:abstractNumId w:val="35"/>
  </w:num>
  <w:num w:numId="16">
    <w:abstractNumId w:val="18"/>
  </w:num>
  <w:num w:numId="17">
    <w:abstractNumId w:val="38"/>
  </w:num>
  <w:num w:numId="18">
    <w:abstractNumId w:val="21"/>
  </w:num>
  <w:num w:numId="19">
    <w:abstractNumId w:val="45"/>
  </w:num>
  <w:num w:numId="20">
    <w:abstractNumId w:val="5"/>
  </w:num>
  <w:num w:numId="21">
    <w:abstractNumId w:val="0"/>
  </w:num>
  <w:num w:numId="22">
    <w:abstractNumId w:val="7"/>
  </w:num>
  <w:num w:numId="23">
    <w:abstractNumId w:val="30"/>
  </w:num>
  <w:num w:numId="24">
    <w:abstractNumId w:val="9"/>
  </w:num>
  <w:num w:numId="25">
    <w:abstractNumId w:val="27"/>
  </w:num>
  <w:num w:numId="26">
    <w:abstractNumId w:val="31"/>
  </w:num>
  <w:num w:numId="27">
    <w:abstractNumId w:val="33"/>
  </w:num>
  <w:num w:numId="28">
    <w:abstractNumId w:val="13"/>
  </w:num>
  <w:num w:numId="29">
    <w:abstractNumId w:val="41"/>
  </w:num>
  <w:num w:numId="30">
    <w:abstractNumId w:val="12"/>
  </w:num>
  <w:num w:numId="31">
    <w:abstractNumId w:val="34"/>
  </w:num>
  <w:num w:numId="32">
    <w:abstractNumId w:val="37"/>
  </w:num>
  <w:num w:numId="33">
    <w:abstractNumId w:val="39"/>
  </w:num>
  <w:num w:numId="34">
    <w:abstractNumId w:val="10"/>
  </w:num>
  <w:num w:numId="35">
    <w:abstractNumId w:val="28"/>
  </w:num>
  <w:num w:numId="36">
    <w:abstractNumId w:val="3"/>
  </w:num>
  <w:num w:numId="37">
    <w:abstractNumId w:val="22"/>
  </w:num>
  <w:num w:numId="38">
    <w:abstractNumId w:val="49"/>
  </w:num>
  <w:num w:numId="39">
    <w:abstractNumId w:val="8"/>
  </w:num>
  <w:num w:numId="40">
    <w:abstractNumId w:val="4"/>
  </w:num>
  <w:num w:numId="41">
    <w:abstractNumId w:val="40"/>
  </w:num>
  <w:num w:numId="42">
    <w:abstractNumId w:val="50"/>
  </w:num>
  <w:num w:numId="43">
    <w:abstractNumId w:val="36"/>
  </w:num>
  <w:num w:numId="44">
    <w:abstractNumId w:val="2"/>
  </w:num>
  <w:num w:numId="45">
    <w:abstractNumId w:val="16"/>
  </w:num>
  <w:num w:numId="46">
    <w:abstractNumId w:val="32"/>
  </w:num>
  <w:num w:numId="47">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6"/>
  </w:num>
  <w:num w:numId="50">
    <w:abstractNumId w:val="29"/>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0A3D"/>
    <w:rsid w:val="000050CE"/>
    <w:rsid w:val="00007670"/>
    <w:rsid w:val="000171D7"/>
    <w:rsid w:val="00033B45"/>
    <w:rsid w:val="0004029A"/>
    <w:rsid w:val="00041DB3"/>
    <w:rsid w:val="000432F6"/>
    <w:rsid w:val="0004523C"/>
    <w:rsid w:val="000474E3"/>
    <w:rsid w:val="000504C6"/>
    <w:rsid w:val="00051FA0"/>
    <w:rsid w:val="0006034E"/>
    <w:rsid w:val="00063783"/>
    <w:rsid w:val="0006386F"/>
    <w:rsid w:val="00066625"/>
    <w:rsid w:val="00067DBA"/>
    <w:rsid w:val="00073765"/>
    <w:rsid w:val="00086044"/>
    <w:rsid w:val="000929A6"/>
    <w:rsid w:val="00097E6B"/>
    <w:rsid w:val="000A0868"/>
    <w:rsid w:val="000A54A6"/>
    <w:rsid w:val="000B5015"/>
    <w:rsid w:val="000B788F"/>
    <w:rsid w:val="000B7C66"/>
    <w:rsid w:val="000C5FED"/>
    <w:rsid w:val="000D2891"/>
    <w:rsid w:val="000D4A1B"/>
    <w:rsid w:val="000D4E36"/>
    <w:rsid w:val="000E62FE"/>
    <w:rsid w:val="000F12D6"/>
    <w:rsid w:val="000F2704"/>
    <w:rsid w:val="00100ED1"/>
    <w:rsid w:val="001161E4"/>
    <w:rsid w:val="00125A26"/>
    <w:rsid w:val="00136510"/>
    <w:rsid w:val="00141775"/>
    <w:rsid w:val="00146671"/>
    <w:rsid w:val="001472A8"/>
    <w:rsid w:val="00151C10"/>
    <w:rsid w:val="00153495"/>
    <w:rsid w:val="0015376F"/>
    <w:rsid w:val="001614E0"/>
    <w:rsid w:val="001660D6"/>
    <w:rsid w:val="00171BD8"/>
    <w:rsid w:val="00172CE5"/>
    <w:rsid w:val="0017653E"/>
    <w:rsid w:val="00177F73"/>
    <w:rsid w:val="00182B01"/>
    <w:rsid w:val="00182D79"/>
    <w:rsid w:val="001840D2"/>
    <w:rsid w:val="001966D7"/>
    <w:rsid w:val="001A7ACB"/>
    <w:rsid w:val="001B0A58"/>
    <w:rsid w:val="001B2A59"/>
    <w:rsid w:val="001C046D"/>
    <w:rsid w:val="001C06CA"/>
    <w:rsid w:val="001C4D2E"/>
    <w:rsid w:val="001C54CE"/>
    <w:rsid w:val="001C7BC1"/>
    <w:rsid w:val="001C7E35"/>
    <w:rsid w:val="001D61A1"/>
    <w:rsid w:val="001E3C06"/>
    <w:rsid w:val="001E6B15"/>
    <w:rsid w:val="001F0037"/>
    <w:rsid w:val="001F0BE9"/>
    <w:rsid w:val="00202D79"/>
    <w:rsid w:val="00205D2F"/>
    <w:rsid w:val="00211167"/>
    <w:rsid w:val="0021196B"/>
    <w:rsid w:val="002151C5"/>
    <w:rsid w:val="00215DBF"/>
    <w:rsid w:val="00215E8F"/>
    <w:rsid w:val="002209C7"/>
    <w:rsid w:val="00220B30"/>
    <w:rsid w:val="00221A93"/>
    <w:rsid w:val="00230331"/>
    <w:rsid w:val="00231A91"/>
    <w:rsid w:val="002322BB"/>
    <w:rsid w:val="00240C36"/>
    <w:rsid w:val="00242D4B"/>
    <w:rsid w:val="00244BF4"/>
    <w:rsid w:val="00250CEF"/>
    <w:rsid w:val="00251254"/>
    <w:rsid w:val="002548D1"/>
    <w:rsid w:val="00263370"/>
    <w:rsid w:val="0027283B"/>
    <w:rsid w:val="00273074"/>
    <w:rsid w:val="0028019B"/>
    <w:rsid w:val="00282E73"/>
    <w:rsid w:val="00283CAB"/>
    <w:rsid w:val="0028525A"/>
    <w:rsid w:val="002852C8"/>
    <w:rsid w:val="00293479"/>
    <w:rsid w:val="002975CE"/>
    <w:rsid w:val="002A1C1B"/>
    <w:rsid w:val="002A3FEF"/>
    <w:rsid w:val="002A714F"/>
    <w:rsid w:val="002A7973"/>
    <w:rsid w:val="002B54A6"/>
    <w:rsid w:val="002B7133"/>
    <w:rsid w:val="002C4E55"/>
    <w:rsid w:val="002C5758"/>
    <w:rsid w:val="002C72F7"/>
    <w:rsid w:val="002D4015"/>
    <w:rsid w:val="002D6B7E"/>
    <w:rsid w:val="002E50AC"/>
    <w:rsid w:val="002F3EE9"/>
    <w:rsid w:val="003033A7"/>
    <w:rsid w:val="00303D40"/>
    <w:rsid w:val="00307C67"/>
    <w:rsid w:val="00307F76"/>
    <w:rsid w:val="00316424"/>
    <w:rsid w:val="00321FBB"/>
    <w:rsid w:val="003313EA"/>
    <w:rsid w:val="00333C91"/>
    <w:rsid w:val="00333FAA"/>
    <w:rsid w:val="003355D7"/>
    <w:rsid w:val="00342436"/>
    <w:rsid w:val="00343238"/>
    <w:rsid w:val="003508B9"/>
    <w:rsid w:val="0035430B"/>
    <w:rsid w:val="0036201C"/>
    <w:rsid w:val="0036531D"/>
    <w:rsid w:val="00376768"/>
    <w:rsid w:val="00376E2B"/>
    <w:rsid w:val="0038021A"/>
    <w:rsid w:val="003842DD"/>
    <w:rsid w:val="00387A06"/>
    <w:rsid w:val="00391F0D"/>
    <w:rsid w:val="0039790F"/>
    <w:rsid w:val="003A2F83"/>
    <w:rsid w:val="003A51EB"/>
    <w:rsid w:val="003A671E"/>
    <w:rsid w:val="003B79D5"/>
    <w:rsid w:val="003C5F12"/>
    <w:rsid w:val="003C6D03"/>
    <w:rsid w:val="003E503E"/>
    <w:rsid w:val="003F2301"/>
    <w:rsid w:val="003F3AFD"/>
    <w:rsid w:val="003F4E3C"/>
    <w:rsid w:val="003F5655"/>
    <w:rsid w:val="003F735A"/>
    <w:rsid w:val="00402B2F"/>
    <w:rsid w:val="00406E4D"/>
    <w:rsid w:val="004076C8"/>
    <w:rsid w:val="0041397B"/>
    <w:rsid w:val="00415D62"/>
    <w:rsid w:val="00417D29"/>
    <w:rsid w:val="004207E3"/>
    <w:rsid w:val="00421A4C"/>
    <w:rsid w:val="004238C2"/>
    <w:rsid w:val="0043241A"/>
    <w:rsid w:val="00432F45"/>
    <w:rsid w:val="00435B5D"/>
    <w:rsid w:val="004363F7"/>
    <w:rsid w:val="00443E83"/>
    <w:rsid w:val="0044494C"/>
    <w:rsid w:val="0044525C"/>
    <w:rsid w:val="00445D2D"/>
    <w:rsid w:val="004518D2"/>
    <w:rsid w:val="004553F1"/>
    <w:rsid w:val="00464C72"/>
    <w:rsid w:val="00471C1F"/>
    <w:rsid w:val="004725AA"/>
    <w:rsid w:val="00473F31"/>
    <w:rsid w:val="00474A9C"/>
    <w:rsid w:val="00480694"/>
    <w:rsid w:val="004809FA"/>
    <w:rsid w:val="00480B62"/>
    <w:rsid w:val="004857B4"/>
    <w:rsid w:val="004867F4"/>
    <w:rsid w:val="00487206"/>
    <w:rsid w:val="00490B21"/>
    <w:rsid w:val="00490DB9"/>
    <w:rsid w:val="004A1F08"/>
    <w:rsid w:val="004A209E"/>
    <w:rsid w:val="004A2178"/>
    <w:rsid w:val="004A7384"/>
    <w:rsid w:val="004B2F45"/>
    <w:rsid w:val="004B6AF0"/>
    <w:rsid w:val="004B76E6"/>
    <w:rsid w:val="004C3FBF"/>
    <w:rsid w:val="004C4A75"/>
    <w:rsid w:val="004D2D38"/>
    <w:rsid w:val="004D2DA0"/>
    <w:rsid w:val="004D5BCD"/>
    <w:rsid w:val="004D7E85"/>
    <w:rsid w:val="004E14A4"/>
    <w:rsid w:val="004E2A18"/>
    <w:rsid w:val="004E33C0"/>
    <w:rsid w:val="004F48E2"/>
    <w:rsid w:val="004F54BD"/>
    <w:rsid w:val="004F56C5"/>
    <w:rsid w:val="00501782"/>
    <w:rsid w:val="00506185"/>
    <w:rsid w:val="00510348"/>
    <w:rsid w:val="005132A2"/>
    <w:rsid w:val="005135E4"/>
    <w:rsid w:val="005175CF"/>
    <w:rsid w:val="00520CC5"/>
    <w:rsid w:val="00520FB1"/>
    <w:rsid w:val="00524ADA"/>
    <w:rsid w:val="005354D0"/>
    <w:rsid w:val="005367F5"/>
    <w:rsid w:val="00541616"/>
    <w:rsid w:val="0054172C"/>
    <w:rsid w:val="0054590F"/>
    <w:rsid w:val="005459EC"/>
    <w:rsid w:val="0057091E"/>
    <w:rsid w:val="005718B5"/>
    <w:rsid w:val="00571E08"/>
    <w:rsid w:val="005807A3"/>
    <w:rsid w:val="005808FB"/>
    <w:rsid w:val="00580BCE"/>
    <w:rsid w:val="005811F8"/>
    <w:rsid w:val="0058226C"/>
    <w:rsid w:val="00582605"/>
    <w:rsid w:val="005901F9"/>
    <w:rsid w:val="00590A71"/>
    <w:rsid w:val="00591016"/>
    <w:rsid w:val="005A118D"/>
    <w:rsid w:val="005A3358"/>
    <w:rsid w:val="005B2F37"/>
    <w:rsid w:val="005B3AA0"/>
    <w:rsid w:val="005B3F67"/>
    <w:rsid w:val="005B61F2"/>
    <w:rsid w:val="005C7C11"/>
    <w:rsid w:val="005D3ACB"/>
    <w:rsid w:val="005D548F"/>
    <w:rsid w:val="005D6EF5"/>
    <w:rsid w:val="005E3A10"/>
    <w:rsid w:val="005E6037"/>
    <w:rsid w:val="005E6234"/>
    <w:rsid w:val="005E7509"/>
    <w:rsid w:val="005F2A28"/>
    <w:rsid w:val="006006BF"/>
    <w:rsid w:val="00601587"/>
    <w:rsid w:val="00605A4C"/>
    <w:rsid w:val="00611F14"/>
    <w:rsid w:val="00612BA1"/>
    <w:rsid w:val="00621B05"/>
    <w:rsid w:val="006223DE"/>
    <w:rsid w:val="006265EA"/>
    <w:rsid w:val="00640963"/>
    <w:rsid w:val="00644655"/>
    <w:rsid w:val="00645B8B"/>
    <w:rsid w:val="0065034D"/>
    <w:rsid w:val="00652205"/>
    <w:rsid w:val="00655044"/>
    <w:rsid w:val="00666922"/>
    <w:rsid w:val="00670B74"/>
    <w:rsid w:val="00670F17"/>
    <w:rsid w:val="006710C7"/>
    <w:rsid w:val="0067595C"/>
    <w:rsid w:val="00676D40"/>
    <w:rsid w:val="00694D93"/>
    <w:rsid w:val="00696A83"/>
    <w:rsid w:val="006A02BC"/>
    <w:rsid w:val="006A462F"/>
    <w:rsid w:val="006B4B77"/>
    <w:rsid w:val="006C56DC"/>
    <w:rsid w:val="006C580A"/>
    <w:rsid w:val="006D1E69"/>
    <w:rsid w:val="006D5D67"/>
    <w:rsid w:val="006D63CC"/>
    <w:rsid w:val="006F057C"/>
    <w:rsid w:val="006F22DA"/>
    <w:rsid w:val="006F2EB3"/>
    <w:rsid w:val="006F3E34"/>
    <w:rsid w:val="00707F06"/>
    <w:rsid w:val="007116B1"/>
    <w:rsid w:val="00714BEE"/>
    <w:rsid w:val="00721215"/>
    <w:rsid w:val="007214EC"/>
    <w:rsid w:val="00722915"/>
    <w:rsid w:val="007260E2"/>
    <w:rsid w:val="0072680A"/>
    <w:rsid w:val="00727CD9"/>
    <w:rsid w:val="00736036"/>
    <w:rsid w:val="007400CF"/>
    <w:rsid w:val="00742E9C"/>
    <w:rsid w:val="00744CAF"/>
    <w:rsid w:val="00754F7E"/>
    <w:rsid w:val="00760768"/>
    <w:rsid w:val="00772B0A"/>
    <w:rsid w:val="007730A9"/>
    <w:rsid w:val="007808FB"/>
    <w:rsid w:val="00785E59"/>
    <w:rsid w:val="007861FF"/>
    <w:rsid w:val="007B23FC"/>
    <w:rsid w:val="007B4EDB"/>
    <w:rsid w:val="007C4F3E"/>
    <w:rsid w:val="007C731E"/>
    <w:rsid w:val="007D0C1D"/>
    <w:rsid w:val="007D2000"/>
    <w:rsid w:val="007D4DBF"/>
    <w:rsid w:val="007D4E8E"/>
    <w:rsid w:val="007E17FE"/>
    <w:rsid w:val="007E4732"/>
    <w:rsid w:val="007E4BA4"/>
    <w:rsid w:val="007F004E"/>
    <w:rsid w:val="007F1D57"/>
    <w:rsid w:val="007F335A"/>
    <w:rsid w:val="00803104"/>
    <w:rsid w:val="008036A6"/>
    <w:rsid w:val="00804372"/>
    <w:rsid w:val="00812901"/>
    <w:rsid w:val="00812E8B"/>
    <w:rsid w:val="00815452"/>
    <w:rsid w:val="008155A1"/>
    <w:rsid w:val="0082040A"/>
    <w:rsid w:val="00820E5D"/>
    <w:rsid w:val="0082392E"/>
    <w:rsid w:val="00825254"/>
    <w:rsid w:val="00826B9A"/>
    <w:rsid w:val="00831C5B"/>
    <w:rsid w:val="00833941"/>
    <w:rsid w:val="00834F7D"/>
    <w:rsid w:val="00841CB2"/>
    <w:rsid w:val="00842757"/>
    <w:rsid w:val="00843CC2"/>
    <w:rsid w:val="00846650"/>
    <w:rsid w:val="00846A60"/>
    <w:rsid w:val="00847180"/>
    <w:rsid w:val="00851241"/>
    <w:rsid w:val="0085266D"/>
    <w:rsid w:val="00852B52"/>
    <w:rsid w:val="008538A8"/>
    <w:rsid w:val="00855F99"/>
    <w:rsid w:val="008578BB"/>
    <w:rsid w:val="00871265"/>
    <w:rsid w:val="0087455F"/>
    <w:rsid w:val="0087712A"/>
    <w:rsid w:val="00885F34"/>
    <w:rsid w:val="00897ABD"/>
    <w:rsid w:val="008A0386"/>
    <w:rsid w:val="008A5AA0"/>
    <w:rsid w:val="008B1ADF"/>
    <w:rsid w:val="008C2D69"/>
    <w:rsid w:val="008C37B6"/>
    <w:rsid w:val="008C3976"/>
    <w:rsid w:val="008C7BC2"/>
    <w:rsid w:val="008D15E2"/>
    <w:rsid w:val="008D3F1F"/>
    <w:rsid w:val="008E224D"/>
    <w:rsid w:val="008E4BD8"/>
    <w:rsid w:val="008F4712"/>
    <w:rsid w:val="008F4C90"/>
    <w:rsid w:val="00900C64"/>
    <w:rsid w:val="00902809"/>
    <w:rsid w:val="00902E06"/>
    <w:rsid w:val="00904F8F"/>
    <w:rsid w:val="0090718E"/>
    <w:rsid w:val="00913159"/>
    <w:rsid w:val="00913EA5"/>
    <w:rsid w:val="009237A6"/>
    <w:rsid w:val="0092530B"/>
    <w:rsid w:val="009341A6"/>
    <w:rsid w:val="0093754B"/>
    <w:rsid w:val="0094208C"/>
    <w:rsid w:val="00942AC2"/>
    <w:rsid w:val="00942F17"/>
    <w:rsid w:val="00943236"/>
    <w:rsid w:val="00952CEF"/>
    <w:rsid w:val="00955421"/>
    <w:rsid w:val="00973F73"/>
    <w:rsid w:val="0097789F"/>
    <w:rsid w:val="00990E9C"/>
    <w:rsid w:val="00994542"/>
    <w:rsid w:val="00994908"/>
    <w:rsid w:val="009A774B"/>
    <w:rsid w:val="009B160B"/>
    <w:rsid w:val="009B5F9E"/>
    <w:rsid w:val="009C237B"/>
    <w:rsid w:val="009C7221"/>
    <w:rsid w:val="009E2634"/>
    <w:rsid w:val="009E5A93"/>
    <w:rsid w:val="009F08E6"/>
    <w:rsid w:val="009F3154"/>
    <w:rsid w:val="009F68C6"/>
    <w:rsid w:val="00A00709"/>
    <w:rsid w:val="00A01062"/>
    <w:rsid w:val="00A01A4B"/>
    <w:rsid w:val="00A03321"/>
    <w:rsid w:val="00A05FD3"/>
    <w:rsid w:val="00A1211C"/>
    <w:rsid w:val="00A15B32"/>
    <w:rsid w:val="00A20113"/>
    <w:rsid w:val="00A20D78"/>
    <w:rsid w:val="00A21423"/>
    <w:rsid w:val="00A21A45"/>
    <w:rsid w:val="00A2215F"/>
    <w:rsid w:val="00A22839"/>
    <w:rsid w:val="00A23E19"/>
    <w:rsid w:val="00A24025"/>
    <w:rsid w:val="00A24476"/>
    <w:rsid w:val="00A24C94"/>
    <w:rsid w:val="00A31962"/>
    <w:rsid w:val="00A31982"/>
    <w:rsid w:val="00A33185"/>
    <w:rsid w:val="00A34CD9"/>
    <w:rsid w:val="00A41CD3"/>
    <w:rsid w:val="00A4573B"/>
    <w:rsid w:val="00A53B04"/>
    <w:rsid w:val="00A53E56"/>
    <w:rsid w:val="00A54A71"/>
    <w:rsid w:val="00A5735C"/>
    <w:rsid w:val="00A661F4"/>
    <w:rsid w:val="00A66326"/>
    <w:rsid w:val="00A67D15"/>
    <w:rsid w:val="00A7079E"/>
    <w:rsid w:val="00A7271A"/>
    <w:rsid w:val="00A73433"/>
    <w:rsid w:val="00A81E19"/>
    <w:rsid w:val="00A970A1"/>
    <w:rsid w:val="00AA5417"/>
    <w:rsid w:val="00AB795F"/>
    <w:rsid w:val="00AC337E"/>
    <w:rsid w:val="00AC6312"/>
    <w:rsid w:val="00AD1E77"/>
    <w:rsid w:val="00AD6D80"/>
    <w:rsid w:val="00AE4F25"/>
    <w:rsid w:val="00AE7511"/>
    <w:rsid w:val="00AF0459"/>
    <w:rsid w:val="00AF38F1"/>
    <w:rsid w:val="00AF45E4"/>
    <w:rsid w:val="00AF6BF1"/>
    <w:rsid w:val="00B061DD"/>
    <w:rsid w:val="00B10B9B"/>
    <w:rsid w:val="00B1160D"/>
    <w:rsid w:val="00B135AE"/>
    <w:rsid w:val="00B14E6F"/>
    <w:rsid w:val="00B16322"/>
    <w:rsid w:val="00B23550"/>
    <w:rsid w:val="00B2760B"/>
    <w:rsid w:val="00B33F7A"/>
    <w:rsid w:val="00B421FD"/>
    <w:rsid w:val="00B4387E"/>
    <w:rsid w:val="00B444E6"/>
    <w:rsid w:val="00B52011"/>
    <w:rsid w:val="00B53EFF"/>
    <w:rsid w:val="00B54AFA"/>
    <w:rsid w:val="00B571E2"/>
    <w:rsid w:val="00B671A4"/>
    <w:rsid w:val="00B766F3"/>
    <w:rsid w:val="00B804E8"/>
    <w:rsid w:val="00B8553B"/>
    <w:rsid w:val="00B94E87"/>
    <w:rsid w:val="00B96DD4"/>
    <w:rsid w:val="00BB2CEC"/>
    <w:rsid w:val="00BB3615"/>
    <w:rsid w:val="00BC206C"/>
    <w:rsid w:val="00BC431A"/>
    <w:rsid w:val="00BC47A6"/>
    <w:rsid w:val="00BD3A55"/>
    <w:rsid w:val="00BD3B51"/>
    <w:rsid w:val="00BD4583"/>
    <w:rsid w:val="00BE1A66"/>
    <w:rsid w:val="00BE35AE"/>
    <w:rsid w:val="00C01A35"/>
    <w:rsid w:val="00C03772"/>
    <w:rsid w:val="00C04EDA"/>
    <w:rsid w:val="00C07856"/>
    <w:rsid w:val="00C119A2"/>
    <w:rsid w:val="00C13528"/>
    <w:rsid w:val="00C155C3"/>
    <w:rsid w:val="00C23C7C"/>
    <w:rsid w:val="00C241CE"/>
    <w:rsid w:val="00C40BB1"/>
    <w:rsid w:val="00C44EA2"/>
    <w:rsid w:val="00C462EC"/>
    <w:rsid w:val="00C560B6"/>
    <w:rsid w:val="00C57267"/>
    <w:rsid w:val="00C57E4F"/>
    <w:rsid w:val="00C616FF"/>
    <w:rsid w:val="00C62B63"/>
    <w:rsid w:val="00C70F63"/>
    <w:rsid w:val="00C72B5B"/>
    <w:rsid w:val="00C841B4"/>
    <w:rsid w:val="00C84C2B"/>
    <w:rsid w:val="00C85683"/>
    <w:rsid w:val="00C869F3"/>
    <w:rsid w:val="00C902AA"/>
    <w:rsid w:val="00C90B02"/>
    <w:rsid w:val="00C93A4B"/>
    <w:rsid w:val="00C9505A"/>
    <w:rsid w:val="00CA4043"/>
    <w:rsid w:val="00CA6BC5"/>
    <w:rsid w:val="00CB35CC"/>
    <w:rsid w:val="00CB543F"/>
    <w:rsid w:val="00CB6500"/>
    <w:rsid w:val="00CC18AC"/>
    <w:rsid w:val="00CD041B"/>
    <w:rsid w:val="00CD6E09"/>
    <w:rsid w:val="00CD7D5D"/>
    <w:rsid w:val="00CE525E"/>
    <w:rsid w:val="00CF0621"/>
    <w:rsid w:val="00CF0FC4"/>
    <w:rsid w:val="00CF3FEA"/>
    <w:rsid w:val="00CF6932"/>
    <w:rsid w:val="00CF6BA1"/>
    <w:rsid w:val="00CF7052"/>
    <w:rsid w:val="00D01FE3"/>
    <w:rsid w:val="00D0381E"/>
    <w:rsid w:val="00D0385F"/>
    <w:rsid w:val="00D053FE"/>
    <w:rsid w:val="00D05A46"/>
    <w:rsid w:val="00D06CA3"/>
    <w:rsid w:val="00D07F46"/>
    <w:rsid w:val="00D11805"/>
    <w:rsid w:val="00D13321"/>
    <w:rsid w:val="00D161EE"/>
    <w:rsid w:val="00D170E5"/>
    <w:rsid w:val="00D26692"/>
    <w:rsid w:val="00D37F2F"/>
    <w:rsid w:val="00D415B9"/>
    <w:rsid w:val="00D5110B"/>
    <w:rsid w:val="00D528E8"/>
    <w:rsid w:val="00D5701A"/>
    <w:rsid w:val="00D577A8"/>
    <w:rsid w:val="00D60155"/>
    <w:rsid w:val="00D61CB1"/>
    <w:rsid w:val="00D6360D"/>
    <w:rsid w:val="00D63F14"/>
    <w:rsid w:val="00D67030"/>
    <w:rsid w:val="00D771D0"/>
    <w:rsid w:val="00D8237B"/>
    <w:rsid w:val="00D835CF"/>
    <w:rsid w:val="00D862BD"/>
    <w:rsid w:val="00D86411"/>
    <w:rsid w:val="00D87C6E"/>
    <w:rsid w:val="00D91208"/>
    <w:rsid w:val="00D96016"/>
    <w:rsid w:val="00D96E5D"/>
    <w:rsid w:val="00DA26FB"/>
    <w:rsid w:val="00DA36BE"/>
    <w:rsid w:val="00DA3B34"/>
    <w:rsid w:val="00DB6C3D"/>
    <w:rsid w:val="00DC5ACF"/>
    <w:rsid w:val="00DD165E"/>
    <w:rsid w:val="00DD3573"/>
    <w:rsid w:val="00DD382A"/>
    <w:rsid w:val="00DD6AED"/>
    <w:rsid w:val="00DD7468"/>
    <w:rsid w:val="00DE1D62"/>
    <w:rsid w:val="00DE1EF2"/>
    <w:rsid w:val="00DE25E9"/>
    <w:rsid w:val="00DE5DC7"/>
    <w:rsid w:val="00DE71D3"/>
    <w:rsid w:val="00DE72CF"/>
    <w:rsid w:val="00DF08A0"/>
    <w:rsid w:val="00DF2993"/>
    <w:rsid w:val="00E00C7F"/>
    <w:rsid w:val="00E01C6D"/>
    <w:rsid w:val="00E057C1"/>
    <w:rsid w:val="00E0717C"/>
    <w:rsid w:val="00E10974"/>
    <w:rsid w:val="00E117DC"/>
    <w:rsid w:val="00E13BEF"/>
    <w:rsid w:val="00E2033B"/>
    <w:rsid w:val="00E4410B"/>
    <w:rsid w:val="00E50B3C"/>
    <w:rsid w:val="00E51538"/>
    <w:rsid w:val="00E63DAE"/>
    <w:rsid w:val="00E70760"/>
    <w:rsid w:val="00E70956"/>
    <w:rsid w:val="00E9253C"/>
    <w:rsid w:val="00E95E66"/>
    <w:rsid w:val="00EA0BBC"/>
    <w:rsid w:val="00EA2BEE"/>
    <w:rsid w:val="00EB2301"/>
    <w:rsid w:val="00EB24E9"/>
    <w:rsid w:val="00EB3CF0"/>
    <w:rsid w:val="00EB3EDE"/>
    <w:rsid w:val="00EB45B5"/>
    <w:rsid w:val="00EB5E57"/>
    <w:rsid w:val="00EB61DB"/>
    <w:rsid w:val="00EB63E3"/>
    <w:rsid w:val="00EB7139"/>
    <w:rsid w:val="00ED1AD0"/>
    <w:rsid w:val="00ED28AF"/>
    <w:rsid w:val="00ED2C87"/>
    <w:rsid w:val="00ED4AFD"/>
    <w:rsid w:val="00ED6776"/>
    <w:rsid w:val="00EE0179"/>
    <w:rsid w:val="00EE479B"/>
    <w:rsid w:val="00EE4FBE"/>
    <w:rsid w:val="00EF4129"/>
    <w:rsid w:val="00F038A1"/>
    <w:rsid w:val="00F06E4E"/>
    <w:rsid w:val="00F17885"/>
    <w:rsid w:val="00F22A1A"/>
    <w:rsid w:val="00F2734E"/>
    <w:rsid w:val="00F30050"/>
    <w:rsid w:val="00F32F4D"/>
    <w:rsid w:val="00F47139"/>
    <w:rsid w:val="00F51E01"/>
    <w:rsid w:val="00F53D4F"/>
    <w:rsid w:val="00F5649A"/>
    <w:rsid w:val="00F61D15"/>
    <w:rsid w:val="00F62199"/>
    <w:rsid w:val="00F67DC5"/>
    <w:rsid w:val="00F76FC6"/>
    <w:rsid w:val="00F82342"/>
    <w:rsid w:val="00F84CBA"/>
    <w:rsid w:val="00F877DB"/>
    <w:rsid w:val="00F91AE4"/>
    <w:rsid w:val="00F93C8B"/>
    <w:rsid w:val="00F959DD"/>
    <w:rsid w:val="00F960D5"/>
    <w:rsid w:val="00F9737F"/>
    <w:rsid w:val="00FA135E"/>
    <w:rsid w:val="00FA17A6"/>
    <w:rsid w:val="00FA6F74"/>
    <w:rsid w:val="00FB1231"/>
    <w:rsid w:val="00FB2942"/>
    <w:rsid w:val="00FB569A"/>
    <w:rsid w:val="00FB66E5"/>
    <w:rsid w:val="00FB6DF1"/>
    <w:rsid w:val="00FC1C5C"/>
    <w:rsid w:val="00FD524C"/>
    <w:rsid w:val="00FE17E2"/>
    <w:rsid w:val="00FE3AE1"/>
    <w:rsid w:val="00FE460A"/>
    <w:rsid w:val="00FE67F3"/>
    <w:rsid w:val="00FF10CB"/>
    <w:rsid w:val="00FF2F05"/>
    <w:rsid w:val="00FF3C5C"/>
    <w:rsid w:val="00FF6E4B"/>
    <w:rsid w:val="019A6DA8"/>
    <w:rsid w:val="091206B6"/>
    <w:rsid w:val="0C34B2FC"/>
    <w:rsid w:val="0F2ABB0F"/>
    <w:rsid w:val="11993880"/>
    <w:rsid w:val="174CEF08"/>
    <w:rsid w:val="19D9029C"/>
    <w:rsid w:val="1CF14BDB"/>
    <w:rsid w:val="1D67AC92"/>
    <w:rsid w:val="1D769977"/>
    <w:rsid w:val="2A86EB4E"/>
    <w:rsid w:val="3B211FF2"/>
    <w:rsid w:val="3BEAF305"/>
    <w:rsid w:val="3DAD253C"/>
    <w:rsid w:val="3F7AD609"/>
    <w:rsid w:val="42F4E4CC"/>
    <w:rsid w:val="4D019950"/>
    <w:rsid w:val="5825DA9C"/>
    <w:rsid w:val="5D99949F"/>
    <w:rsid w:val="5E47C028"/>
    <w:rsid w:val="5F820DA1"/>
    <w:rsid w:val="6702CD01"/>
    <w:rsid w:val="79FA2439"/>
    <w:rsid w:val="7E32E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Heading2Char">
    <w:name w:val="Heading 2 Char"/>
    <w:basedOn w:val="DefaultParagraphFont"/>
    <w:link w:val="Heading2"/>
    <w:rsid w:val="00A31962"/>
    <w:rPr>
      <w:rFonts w:ascii="Arial Black" w:hAnsi="Arial Black" w:cs="Arial"/>
      <w:b/>
      <w:bCs/>
      <w:sz w:val="32"/>
      <w:szCs w:val="32"/>
      <w:lang w:eastAsia="en-US"/>
    </w:rPr>
  </w:style>
  <w:style w:type="character" w:customStyle="1" w:styleId="Heading3Char">
    <w:name w:val="Heading 3 Char"/>
    <w:basedOn w:val="DefaultParagraphFont"/>
    <w:link w:val="Heading3"/>
    <w:rsid w:val="00A31962"/>
    <w:rPr>
      <w:rFonts w:ascii="Arial" w:hAnsi="Arial" w:cs="Arial"/>
      <w:b/>
      <w:bCs/>
      <w:sz w:val="28"/>
      <w:szCs w:val="28"/>
      <w:lang w:eastAsia="en-US"/>
    </w:rPr>
  </w:style>
  <w:style w:type="character" w:styleId="CommentReference">
    <w:name w:val="annotation reference"/>
    <w:basedOn w:val="DefaultParagraphFont"/>
    <w:semiHidden/>
    <w:unhideWhenUsed/>
    <w:rsid w:val="00100ED1"/>
    <w:rPr>
      <w:sz w:val="16"/>
      <w:szCs w:val="16"/>
    </w:rPr>
  </w:style>
  <w:style w:type="paragraph" w:styleId="CommentText">
    <w:name w:val="annotation text"/>
    <w:basedOn w:val="Normal"/>
    <w:link w:val="CommentTextChar"/>
    <w:semiHidden/>
    <w:unhideWhenUsed/>
    <w:rsid w:val="00100ED1"/>
    <w:rPr>
      <w:sz w:val="20"/>
    </w:rPr>
  </w:style>
  <w:style w:type="character" w:customStyle="1" w:styleId="CommentTextChar">
    <w:name w:val="Comment Text Char"/>
    <w:basedOn w:val="DefaultParagraphFont"/>
    <w:link w:val="CommentText"/>
    <w:semiHidden/>
    <w:rsid w:val="00100ED1"/>
    <w:rPr>
      <w:rFonts w:ascii="Arial" w:hAnsi="Arial"/>
      <w:lang w:eastAsia="en-US"/>
    </w:rPr>
  </w:style>
  <w:style w:type="paragraph" w:styleId="CommentSubject">
    <w:name w:val="annotation subject"/>
    <w:basedOn w:val="CommentText"/>
    <w:next w:val="CommentText"/>
    <w:link w:val="CommentSubjectChar"/>
    <w:semiHidden/>
    <w:unhideWhenUsed/>
    <w:rsid w:val="00100ED1"/>
    <w:rPr>
      <w:b/>
      <w:bCs/>
    </w:rPr>
  </w:style>
  <w:style w:type="character" w:customStyle="1" w:styleId="CommentSubjectChar">
    <w:name w:val="Comment Subject Char"/>
    <w:basedOn w:val="CommentTextChar"/>
    <w:link w:val="CommentSubject"/>
    <w:semiHidden/>
    <w:rsid w:val="00100ED1"/>
    <w:rPr>
      <w:rFonts w:ascii="Arial" w:hAnsi="Arial"/>
      <w:b/>
      <w:bCs/>
      <w:lang w:eastAsia="en-US"/>
    </w:rPr>
  </w:style>
  <w:style w:type="character" w:styleId="UnresolvedMention">
    <w:name w:val="Unresolved Mention"/>
    <w:basedOn w:val="DefaultParagraphFont"/>
    <w:uiPriority w:val="99"/>
    <w:unhideWhenUsed/>
    <w:rsid w:val="00CB543F"/>
    <w:rPr>
      <w:color w:val="605E5C"/>
      <w:shd w:val="clear" w:color="auto" w:fill="E1DFDD"/>
    </w:rPr>
  </w:style>
  <w:style w:type="character" w:styleId="Mention">
    <w:name w:val="Mention"/>
    <w:basedOn w:val="DefaultParagraphFont"/>
    <w:uiPriority w:val="99"/>
    <w:unhideWhenUsed/>
    <w:rsid w:val="00CB543F"/>
    <w:rPr>
      <w:color w:val="2B579A"/>
      <w:shd w:val="clear" w:color="auto" w:fill="E1DFDD"/>
    </w:rPr>
  </w:style>
  <w:style w:type="character" w:customStyle="1" w:styleId="normaltextrun">
    <w:name w:val="normaltextrun"/>
    <w:basedOn w:val="DefaultParagraphFont"/>
    <w:rsid w:val="00841CB2"/>
  </w:style>
  <w:style w:type="paragraph" w:customStyle="1" w:styleId="paragraph">
    <w:name w:val="paragraph"/>
    <w:basedOn w:val="Normal"/>
    <w:rsid w:val="00847180"/>
    <w:pPr>
      <w:spacing w:before="100" w:beforeAutospacing="1" w:after="100" w:afterAutospacing="1"/>
    </w:pPr>
    <w:rPr>
      <w:rFonts w:ascii="Calibri" w:eastAsiaTheme="minorHAnsi" w:hAnsi="Calibri" w:cs="Calibri"/>
      <w:sz w:val="22"/>
      <w:szCs w:val="22"/>
      <w:lang w:eastAsia="en-GB"/>
    </w:rPr>
  </w:style>
  <w:style w:type="character" w:customStyle="1" w:styleId="eop">
    <w:name w:val="eop"/>
    <w:basedOn w:val="DefaultParagraphFont"/>
    <w:rsid w:val="00847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43740869">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31986061">
      <w:bodyDiv w:val="1"/>
      <w:marLeft w:val="0"/>
      <w:marRight w:val="0"/>
      <w:marTop w:val="0"/>
      <w:marBottom w:val="0"/>
      <w:divBdr>
        <w:top w:val="none" w:sz="0" w:space="0" w:color="auto"/>
        <w:left w:val="none" w:sz="0" w:space="0" w:color="auto"/>
        <w:bottom w:val="none" w:sz="0" w:space="0" w:color="auto"/>
        <w:right w:val="none" w:sz="0" w:space="0" w:color="auto"/>
      </w:divBdr>
    </w:div>
    <w:div w:id="655500646">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039558">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417824155">
      <w:bodyDiv w:val="1"/>
      <w:marLeft w:val="0"/>
      <w:marRight w:val="0"/>
      <w:marTop w:val="0"/>
      <w:marBottom w:val="0"/>
      <w:divBdr>
        <w:top w:val="none" w:sz="0" w:space="0" w:color="auto"/>
        <w:left w:val="none" w:sz="0" w:space="0" w:color="auto"/>
        <w:bottom w:val="none" w:sz="0" w:space="0" w:color="auto"/>
        <w:right w:val="none" w:sz="0" w:space="0" w:color="auto"/>
      </w:divBdr>
    </w:div>
    <w:div w:id="15215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ulian.wain@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20e7c6215c2f97c6a390cc6c3b52197c">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8b0d0d2f6eee507943635ede765ed91a"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de0dcf-7e4b-46ba-b260-4cfde2c33e74">
      <UserInfo>
        <DisplayName>Julian Wain</DisplayName>
        <AccountId>16</AccountId>
        <AccountType/>
      </UserInfo>
      <UserInfo>
        <DisplayName>Kirstan Shiels</DisplayName>
        <AccountId>15</AccountId>
        <AccountType/>
      </UserInfo>
      <UserInfo>
        <DisplayName>Alison Pegg</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83DC2-1061-4EF5-8661-1EE3BD18D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27de0dcf-7e4b-46ba-b260-4cfde2c33e74"/>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E6C3E1E6-9EA9-4067-A40C-9B2FCEDC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3261</Words>
  <Characters>17349</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Jodie McCarthy</dc:creator>
  <cp:keywords>Cabinet Report Template</cp:keywords>
  <cp:lastModifiedBy>Nikoleta Kemp</cp:lastModifiedBy>
  <cp:revision>14</cp:revision>
  <cp:lastPrinted>2014-10-31T16:34:00Z</cp:lastPrinted>
  <dcterms:created xsi:type="dcterms:W3CDTF">2021-11-10T10:26:00Z</dcterms:created>
  <dcterms:modified xsi:type="dcterms:W3CDTF">2021-11-10T12:19:00Z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